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DEDF6F" w14:textId="77777777" w:rsidR="00FB2FD8" w:rsidRDefault="00FB2FD8">
      <w:pPr>
        <w:rPr>
          <w:sz w:val="24"/>
          <w:szCs w:val="24"/>
        </w:rPr>
      </w:pPr>
    </w:p>
    <w:p w14:paraId="4D2E7C17" w14:textId="77777777" w:rsidR="00FB2FD8" w:rsidRDefault="00FF7AD2">
      <w:pPr>
        <w:rPr>
          <w:b/>
          <w:bCs/>
          <w:sz w:val="24"/>
          <w:szCs w:val="24"/>
        </w:rPr>
      </w:pPr>
      <w:r>
        <w:rPr>
          <w:b/>
          <w:bCs/>
          <w:sz w:val="24"/>
          <w:szCs w:val="24"/>
        </w:rPr>
        <w:t>June 29, 2026</w:t>
      </w:r>
    </w:p>
    <w:p w14:paraId="0B5B653C" w14:textId="77777777" w:rsidR="00FB2FD8" w:rsidRDefault="00FB2FD8">
      <w:pPr>
        <w:rPr>
          <w:b/>
          <w:bCs/>
          <w:sz w:val="24"/>
          <w:szCs w:val="24"/>
        </w:rPr>
      </w:pPr>
    </w:p>
    <w:p w14:paraId="4C477155" w14:textId="77777777" w:rsidR="00FB2FD8" w:rsidRDefault="00FB2FD8">
      <w:pPr>
        <w:rPr>
          <w:b/>
          <w:bCs/>
          <w:sz w:val="24"/>
          <w:szCs w:val="24"/>
        </w:rPr>
      </w:pPr>
    </w:p>
    <w:p w14:paraId="6BD3AF1B" w14:textId="77777777" w:rsidR="00FB2FD8" w:rsidRDefault="00FF7AD2">
      <w:pPr>
        <w:rPr>
          <w:b/>
          <w:bCs/>
          <w:sz w:val="24"/>
          <w:szCs w:val="24"/>
        </w:rPr>
      </w:pPr>
      <w:r>
        <w:rPr>
          <w:b/>
          <w:bCs/>
          <w:sz w:val="24"/>
          <w:szCs w:val="24"/>
        </w:rPr>
        <w:t>To: Jennifer Cahill</w:t>
      </w:r>
    </w:p>
    <w:p w14:paraId="32F187DC" w14:textId="77777777" w:rsidR="00FB2FD8" w:rsidRDefault="00FF7AD2">
      <w:pPr>
        <w:rPr>
          <w:b/>
          <w:bCs/>
          <w:sz w:val="24"/>
          <w:szCs w:val="24"/>
        </w:rPr>
      </w:pPr>
      <w:r>
        <w:rPr>
          <w:b/>
          <w:bCs/>
          <w:sz w:val="24"/>
          <w:szCs w:val="24"/>
        </w:rPr>
        <w:t xml:space="preserve">      Architecture and Constructions Section Chief</w:t>
      </w:r>
    </w:p>
    <w:p w14:paraId="76F5CFDF" w14:textId="77777777" w:rsidR="00FB2FD8" w:rsidRDefault="00FF7AD2">
      <w:pPr>
        <w:rPr>
          <w:b/>
          <w:bCs/>
          <w:sz w:val="24"/>
          <w:szCs w:val="24"/>
        </w:rPr>
      </w:pPr>
      <w:r>
        <w:rPr>
          <w:b/>
          <w:bCs/>
          <w:sz w:val="24"/>
          <w:szCs w:val="24"/>
        </w:rPr>
        <w:t xml:space="preserve">      </w:t>
      </w:r>
      <w:hyperlink r:id="rId7">
        <w:r>
          <w:rPr>
            <w:b/>
            <w:bCs/>
            <w:color w:val="1155CC"/>
            <w:sz w:val="24"/>
            <w:szCs w:val="24"/>
            <w:u w:val="single"/>
          </w:rPr>
          <w:t>DAS@ohiohome.org</w:t>
        </w:r>
      </w:hyperlink>
    </w:p>
    <w:p w14:paraId="4F348CC1" w14:textId="77777777" w:rsidR="00FB2FD8" w:rsidRDefault="00FB2FD8">
      <w:pPr>
        <w:rPr>
          <w:sz w:val="24"/>
          <w:szCs w:val="24"/>
        </w:rPr>
      </w:pPr>
    </w:p>
    <w:p w14:paraId="2E08B3F0" w14:textId="77777777" w:rsidR="00FB2FD8" w:rsidRDefault="00FB2FD8">
      <w:pPr>
        <w:rPr>
          <w:sz w:val="24"/>
          <w:szCs w:val="24"/>
        </w:rPr>
      </w:pPr>
    </w:p>
    <w:p w14:paraId="1EEBC047" w14:textId="77777777" w:rsidR="00FB2FD8" w:rsidRDefault="00FF7AD2">
      <w:pPr>
        <w:rPr>
          <w:sz w:val="24"/>
          <w:szCs w:val="24"/>
        </w:rPr>
      </w:pPr>
      <w:r>
        <w:rPr>
          <w:sz w:val="24"/>
          <w:szCs w:val="24"/>
        </w:rPr>
        <w:t>The Ohio Olmstead Task Force (OOTF) is a statewide grassroots coalition of Ohioans</w:t>
      </w:r>
    </w:p>
    <w:p w14:paraId="553C1F36" w14:textId="77777777" w:rsidR="00FB2FD8" w:rsidRDefault="00FF7AD2">
      <w:pPr>
        <w:rPr>
          <w:sz w:val="24"/>
          <w:szCs w:val="24"/>
        </w:rPr>
      </w:pPr>
      <w:r>
        <w:rPr>
          <w:sz w:val="24"/>
          <w:szCs w:val="24"/>
        </w:rPr>
        <w:t>with disabilities of all ages, family members, advocates and organizations advocating for</w:t>
      </w:r>
    </w:p>
    <w:p w14:paraId="7E863607" w14:textId="77777777" w:rsidR="00FB2FD8" w:rsidRDefault="00FF7AD2">
      <w:pPr>
        <w:rPr>
          <w:sz w:val="24"/>
          <w:szCs w:val="24"/>
        </w:rPr>
      </w:pPr>
      <w:r>
        <w:rPr>
          <w:sz w:val="24"/>
          <w:szCs w:val="24"/>
        </w:rPr>
        <w:t>the right to live, work and participate in their communities. Formed in 2002, OOTF</w:t>
      </w:r>
    </w:p>
    <w:p w14:paraId="7DD39B75" w14:textId="77777777" w:rsidR="00FB2FD8" w:rsidRDefault="00FF7AD2">
      <w:pPr>
        <w:rPr>
          <w:sz w:val="24"/>
          <w:szCs w:val="24"/>
        </w:rPr>
      </w:pPr>
      <w:r>
        <w:rPr>
          <w:sz w:val="24"/>
          <w:szCs w:val="24"/>
        </w:rPr>
        <w:t>supports the Supreme Court decision that held unnecessary institutionalization is</w:t>
      </w:r>
    </w:p>
    <w:p w14:paraId="39FFCD84" w14:textId="77777777" w:rsidR="00FB2FD8" w:rsidRDefault="00FF7AD2">
      <w:pPr>
        <w:rPr>
          <w:sz w:val="24"/>
          <w:szCs w:val="24"/>
        </w:rPr>
      </w:pPr>
      <w:r>
        <w:rPr>
          <w:sz w:val="24"/>
          <w:szCs w:val="24"/>
        </w:rPr>
        <w:t xml:space="preserve">discrimination against people with disabilities. </w:t>
      </w:r>
    </w:p>
    <w:p w14:paraId="257C1E17" w14:textId="77777777" w:rsidR="00FB2FD8" w:rsidRDefault="00FB2FD8">
      <w:pPr>
        <w:rPr>
          <w:sz w:val="24"/>
          <w:szCs w:val="24"/>
        </w:rPr>
      </w:pPr>
    </w:p>
    <w:p w14:paraId="259B29BB" w14:textId="77777777" w:rsidR="00FB2FD8" w:rsidRDefault="00FF7AD2">
      <w:pPr>
        <w:rPr>
          <w:sz w:val="24"/>
          <w:szCs w:val="24"/>
        </w:rPr>
      </w:pPr>
      <w:r>
        <w:rPr>
          <w:sz w:val="24"/>
          <w:szCs w:val="24"/>
        </w:rPr>
        <w:t>About 1.6 million Ohioans, or roughly 14% of the state’s population, live with some form of disability. The most common types are mobility difficulties, cognitive challenges, and independent living limitations.</w:t>
      </w:r>
    </w:p>
    <w:p w14:paraId="4C9CA873" w14:textId="77777777" w:rsidR="00FB2FD8" w:rsidRDefault="00FF7AD2">
      <w:pPr>
        <w:rPr>
          <w:sz w:val="24"/>
          <w:szCs w:val="24"/>
        </w:rPr>
      </w:pPr>
      <w:r>
        <w:rPr>
          <w:sz w:val="24"/>
          <w:szCs w:val="24"/>
        </w:rPr>
        <w:t xml:space="preserve"> </w:t>
      </w:r>
    </w:p>
    <w:p w14:paraId="30F7227D" w14:textId="77777777" w:rsidR="00FB2FD8" w:rsidRDefault="00FF7AD2">
      <w:pPr>
        <w:rPr>
          <w:sz w:val="24"/>
          <w:szCs w:val="24"/>
        </w:rPr>
      </w:pPr>
      <w:r>
        <w:rPr>
          <w:sz w:val="24"/>
          <w:szCs w:val="24"/>
        </w:rPr>
        <w:t xml:space="preserve">Among Ohio’s homeless population, nearly 40% report having a physical or cognitive disability, reflecting a clear overlap between disability and housing instability in the state. </w:t>
      </w:r>
    </w:p>
    <w:p w14:paraId="13F2DFAB" w14:textId="77777777" w:rsidR="00FB2FD8" w:rsidRDefault="00FF7AD2">
      <w:pPr>
        <w:rPr>
          <w:sz w:val="24"/>
          <w:szCs w:val="24"/>
        </w:rPr>
      </w:pPr>
      <w:r>
        <w:rPr>
          <w:sz w:val="24"/>
          <w:szCs w:val="24"/>
        </w:rPr>
        <w:t xml:space="preserve"> </w:t>
      </w:r>
    </w:p>
    <w:p w14:paraId="677B56D2" w14:textId="77777777" w:rsidR="00FB2FD8" w:rsidRDefault="00FF7AD2">
      <w:pPr>
        <w:rPr>
          <w:sz w:val="24"/>
          <w:szCs w:val="24"/>
        </w:rPr>
      </w:pPr>
      <w:r>
        <w:rPr>
          <w:sz w:val="24"/>
          <w:szCs w:val="24"/>
        </w:rPr>
        <w:t xml:space="preserve">Ohio is also an aging state and many parents of adult children with intellectual and developmental disabilities worry about what is going to happen when they die. They do not want their adult children </w:t>
      </w:r>
      <w:proofErr w:type="gramStart"/>
      <w:r>
        <w:rPr>
          <w:sz w:val="24"/>
          <w:szCs w:val="24"/>
        </w:rPr>
        <w:t>institutionalized</w:t>
      </w:r>
      <w:proofErr w:type="gramEnd"/>
      <w:r>
        <w:rPr>
          <w:sz w:val="24"/>
          <w:szCs w:val="24"/>
        </w:rPr>
        <w:t xml:space="preserve">. Instead, the parents want their family </w:t>
      </w:r>
      <w:proofErr w:type="gramStart"/>
      <w:r>
        <w:rPr>
          <w:sz w:val="24"/>
          <w:szCs w:val="24"/>
        </w:rPr>
        <w:t>member</w:t>
      </w:r>
      <w:proofErr w:type="gramEnd"/>
      <w:r>
        <w:rPr>
          <w:sz w:val="24"/>
          <w:szCs w:val="24"/>
        </w:rPr>
        <w:t xml:space="preserve"> to remain safe in a living situation that can support them.</w:t>
      </w:r>
    </w:p>
    <w:p w14:paraId="01BE9CDF" w14:textId="77777777" w:rsidR="00FB2FD8" w:rsidRDefault="00FF7AD2">
      <w:pPr>
        <w:rPr>
          <w:sz w:val="24"/>
          <w:szCs w:val="24"/>
        </w:rPr>
      </w:pPr>
      <w:r>
        <w:rPr>
          <w:sz w:val="24"/>
          <w:szCs w:val="24"/>
        </w:rPr>
        <w:t xml:space="preserve"> </w:t>
      </w:r>
    </w:p>
    <w:p w14:paraId="0894BDAE" w14:textId="4FC3577C" w:rsidR="00FB2FD8" w:rsidRDefault="00AC368F">
      <w:pPr>
        <w:rPr>
          <w:sz w:val="24"/>
          <w:szCs w:val="24"/>
        </w:rPr>
      </w:pPr>
      <w:r>
        <w:rPr>
          <w:sz w:val="24"/>
          <w:szCs w:val="24"/>
        </w:rPr>
        <w:t>Additionally,</w:t>
      </w:r>
      <w:r w:rsidR="00FF7AD2">
        <w:rPr>
          <w:sz w:val="24"/>
          <w:szCs w:val="24"/>
        </w:rPr>
        <w:t xml:space="preserve"> nearly a third of Ohioans aged 65 or over also live with a disability (31%). One in five (20%) has serious difficulty walking or climbing stairs, and one in eight (12%) has difficulty doing errands alone. With this population cohort still growing and disabilities becoming more prevalent with age, there is a growing need for affordable housing options that are more accessible and designed for older adults with independent living challenges.</w:t>
      </w:r>
    </w:p>
    <w:p w14:paraId="4D3D6533" w14:textId="77777777" w:rsidR="00FB2FD8" w:rsidRDefault="00FF7AD2">
      <w:pPr>
        <w:rPr>
          <w:sz w:val="24"/>
          <w:szCs w:val="24"/>
        </w:rPr>
      </w:pPr>
      <w:r>
        <w:rPr>
          <w:sz w:val="24"/>
          <w:szCs w:val="24"/>
        </w:rPr>
        <w:t xml:space="preserve"> </w:t>
      </w:r>
    </w:p>
    <w:p w14:paraId="47602DB5" w14:textId="77777777" w:rsidR="00FB2FD8" w:rsidRDefault="00FF7AD2">
      <w:pPr>
        <w:rPr>
          <w:b/>
          <w:bCs/>
          <w:sz w:val="24"/>
          <w:szCs w:val="24"/>
        </w:rPr>
      </w:pPr>
      <w:r>
        <w:rPr>
          <w:sz w:val="24"/>
          <w:szCs w:val="24"/>
        </w:rPr>
        <w:t xml:space="preserve"> We mention the data on the prevalence of disability in Ohio along with the homeless rate of Ohioans with disabilities only to point out the reality that faces many of us with disabilities - </w:t>
      </w:r>
      <w:r>
        <w:rPr>
          <w:b/>
          <w:bCs/>
          <w:sz w:val="24"/>
          <w:szCs w:val="24"/>
        </w:rPr>
        <w:t>There simply is not enough affordable, accessible housing.</w:t>
      </w:r>
    </w:p>
    <w:p w14:paraId="4FC661A7" w14:textId="77777777" w:rsidR="00FB2FD8" w:rsidRDefault="00FF7AD2">
      <w:pPr>
        <w:rPr>
          <w:sz w:val="24"/>
          <w:szCs w:val="24"/>
        </w:rPr>
      </w:pPr>
      <w:r>
        <w:rPr>
          <w:sz w:val="24"/>
          <w:szCs w:val="24"/>
        </w:rPr>
        <w:lastRenderedPageBreak/>
        <w:t xml:space="preserve"> </w:t>
      </w:r>
    </w:p>
    <w:p w14:paraId="089D28E6" w14:textId="77777777" w:rsidR="00FB2FD8" w:rsidRDefault="00FF7AD2">
      <w:pPr>
        <w:rPr>
          <w:sz w:val="24"/>
          <w:szCs w:val="24"/>
        </w:rPr>
      </w:pPr>
      <w:r>
        <w:rPr>
          <w:sz w:val="24"/>
          <w:szCs w:val="24"/>
        </w:rPr>
        <w:t xml:space="preserve">Many people with disabilities want to have </w:t>
      </w:r>
      <w:r>
        <w:rPr>
          <w:sz w:val="24"/>
          <w:szCs w:val="24"/>
          <w:u w:val="single"/>
        </w:rPr>
        <w:t>real choice</w:t>
      </w:r>
      <w:r>
        <w:rPr>
          <w:sz w:val="24"/>
          <w:szCs w:val="24"/>
        </w:rPr>
        <w:t xml:space="preserve"> when it comes to accessible </w:t>
      </w:r>
      <w:proofErr w:type="gramStart"/>
      <w:r>
        <w:rPr>
          <w:sz w:val="24"/>
          <w:szCs w:val="24"/>
        </w:rPr>
        <w:t>housing—</w:t>
      </w:r>
      <w:proofErr w:type="gramEnd"/>
      <w:r>
        <w:rPr>
          <w:sz w:val="24"/>
          <w:szCs w:val="24"/>
        </w:rPr>
        <w:t>most want the option to live in inclusive, community-based settings, while others may prefer more specialized environments based on their needs and preferences.</w:t>
      </w:r>
    </w:p>
    <w:p w14:paraId="1036C23E" w14:textId="77777777" w:rsidR="00FB2FD8" w:rsidRDefault="00FF7AD2">
      <w:pPr>
        <w:spacing w:before="240" w:after="240"/>
        <w:rPr>
          <w:sz w:val="24"/>
          <w:szCs w:val="24"/>
        </w:rPr>
      </w:pPr>
      <w:r>
        <w:rPr>
          <w:sz w:val="24"/>
          <w:szCs w:val="24"/>
        </w:rPr>
        <w:t xml:space="preserve">OOTF appreciates the current adaptability and accessibility sections in the 2027 Ohio Housing Finance Agency Design &amp; Architectural Standards (DAS) in the ways it already exceeds minimum code requirements and includes a robust set of features to increase both the amount of accessible housing and ease of access for people with disabilities. However, there are still opportunities to further strengthen these sections </w:t>
      </w:r>
      <w:proofErr w:type="gramStart"/>
      <w:r>
        <w:rPr>
          <w:sz w:val="24"/>
          <w:szCs w:val="24"/>
        </w:rPr>
        <w:t>in order to</w:t>
      </w:r>
      <w:proofErr w:type="gramEnd"/>
      <w:r>
        <w:rPr>
          <w:sz w:val="24"/>
          <w:szCs w:val="24"/>
        </w:rPr>
        <w:t xml:space="preserve"> create better opportunities for people with disabilities to live and access their communities.</w:t>
      </w:r>
    </w:p>
    <w:p w14:paraId="1FC69154" w14:textId="77777777" w:rsidR="00FB2FD8" w:rsidRDefault="00FF7AD2">
      <w:pPr>
        <w:pStyle w:val="Heading3"/>
        <w:keepNext w:val="0"/>
        <w:keepLines w:val="0"/>
        <w:spacing w:before="280"/>
        <w:rPr>
          <w:b/>
          <w:bCs/>
          <w:color w:val="000000"/>
          <w:sz w:val="24"/>
          <w:szCs w:val="24"/>
        </w:rPr>
      </w:pPr>
      <w:bookmarkStart w:id="0" w:name="_6xx58eep70z" w:colFirst="0" w:colLast="0"/>
      <w:bookmarkEnd w:id="0"/>
      <w:r>
        <w:rPr>
          <w:b/>
          <w:bCs/>
          <w:color w:val="000000"/>
          <w:sz w:val="24"/>
          <w:szCs w:val="24"/>
        </w:rPr>
        <w:t>Opportunities for Further Improvement</w:t>
      </w:r>
    </w:p>
    <w:p w14:paraId="1FC1FDF6" w14:textId="77777777" w:rsidR="00FB2FD8" w:rsidRDefault="00FF7AD2">
      <w:pPr>
        <w:numPr>
          <w:ilvl w:val="0"/>
          <w:numId w:val="2"/>
        </w:numPr>
        <w:spacing w:before="240"/>
        <w:rPr>
          <w:sz w:val="24"/>
          <w:szCs w:val="24"/>
        </w:rPr>
      </w:pPr>
      <w:r>
        <w:rPr>
          <w:b/>
          <w:bCs/>
          <w:sz w:val="24"/>
          <w:szCs w:val="24"/>
        </w:rPr>
        <w:t>Increase Minimum Percentages of Accessible Units:</w:t>
      </w:r>
    </w:p>
    <w:p w14:paraId="703893EA" w14:textId="77777777" w:rsidR="00FB2FD8" w:rsidRDefault="00FF7AD2">
      <w:pPr>
        <w:numPr>
          <w:ilvl w:val="1"/>
          <w:numId w:val="2"/>
        </w:numPr>
        <w:rPr>
          <w:sz w:val="24"/>
          <w:szCs w:val="24"/>
        </w:rPr>
      </w:pPr>
      <w:r>
        <w:rPr>
          <w:sz w:val="24"/>
          <w:szCs w:val="24"/>
        </w:rPr>
        <w:t>Consider raising the required percentage of mobility and sensory units, especially in general occupancy and family developments, to better meet demand.</w:t>
      </w:r>
    </w:p>
    <w:p w14:paraId="458F7823" w14:textId="77777777" w:rsidR="00FB2FD8" w:rsidRDefault="00FF7AD2">
      <w:pPr>
        <w:numPr>
          <w:ilvl w:val="0"/>
          <w:numId w:val="2"/>
        </w:numPr>
        <w:rPr>
          <w:sz w:val="24"/>
          <w:szCs w:val="24"/>
        </w:rPr>
      </w:pPr>
      <w:r>
        <w:rPr>
          <w:b/>
          <w:bCs/>
          <w:sz w:val="24"/>
          <w:szCs w:val="24"/>
        </w:rPr>
        <w:t>Universal Design Incentives:</w:t>
      </w:r>
    </w:p>
    <w:p w14:paraId="2C00A192" w14:textId="77777777" w:rsidR="00FB2FD8" w:rsidRDefault="00FF7AD2">
      <w:pPr>
        <w:numPr>
          <w:ilvl w:val="1"/>
          <w:numId w:val="2"/>
        </w:numPr>
        <w:rPr>
          <w:sz w:val="24"/>
          <w:szCs w:val="24"/>
        </w:rPr>
      </w:pPr>
      <w:r>
        <w:rPr>
          <w:sz w:val="24"/>
          <w:szCs w:val="24"/>
        </w:rPr>
        <w:t>Encourage or incentivize universal design principles for all units, not just those designated as accessible, to create more inclusive environments.</w:t>
      </w:r>
    </w:p>
    <w:p w14:paraId="2F432320" w14:textId="77777777" w:rsidR="00FB2FD8" w:rsidRDefault="00FF7AD2">
      <w:pPr>
        <w:numPr>
          <w:ilvl w:val="0"/>
          <w:numId w:val="2"/>
        </w:numPr>
        <w:rPr>
          <w:sz w:val="24"/>
          <w:szCs w:val="24"/>
        </w:rPr>
      </w:pPr>
      <w:r>
        <w:rPr>
          <w:b/>
          <w:bCs/>
          <w:sz w:val="24"/>
          <w:szCs w:val="24"/>
        </w:rPr>
        <w:t>Enhanced Flex Unit Guidance:</w:t>
      </w:r>
    </w:p>
    <w:p w14:paraId="3DA7483C" w14:textId="77777777" w:rsidR="00FB2FD8" w:rsidRDefault="00FF7AD2">
      <w:pPr>
        <w:numPr>
          <w:ilvl w:val="1"/>
          <w:numId w:val="2"/>
        </w:numPr>
        <w:rPr>
          <w:sz w:val="24"/>
          <w:szCs w:val="24"/>
        </w:rPr>
      </w:pPr>
      <w:r>
        <w:rPr>
          <w:sz w:val="24"/>
          <w:szCs w:val="24"/>
        </w:rPr>
        <w:t>Provide clearer criteria or best practices for Flex units to ensure they address a broader range of disabilities (e.g., cognitive, sensory processing, autism spectrum).</w:t>
      </w:r>
    </w:p>
    <w:p w14:paraId="558AF5D2" w14:textId="77777777" w:rsidR="00FB2FD8" w:rsidRDefault="00FF7AD2">
      <w:pPr>
        <w:numPr>
          <w:ilvl w:val="0"/>
          <w:numId w:val="2"/>
        </w:numPr>
        <w:rPr>
          <w:sz w:val="24"/>
          <w:szCs w:val="24"/>
        </w:rPr>
      </w:pPr>
      <w:r>
        <w:rPr>
          <w:b/>
          <w:bCs/>
          <w:sz w:val="24"/>
          <w:szCs w:val="24"/>
        </w:rPr>
        <w:t>Smart Home and Assistive Technology:</w:t>
      </w:r>
    </w:p>
    <w:p w14:paraId="4F0552D4" w14:textId="77777777" w:rsidR="00FB2FD8" w:rsidRDefault="00FF7AD2">
      <w:pPr>
        <w:numPr>
          <w:ilvl w:val="1"/>
          <w:numId w:val="2"/>
        </w:numPr>
        <w:rPr>
          <w:sz w:val="24"/>
          <w:szCs w:val="24"/>
        </w:rPr>
      </w:pPr>
      <w:r>
        <w:rPr>
          <w:sz w:val="24"/>
          <w:szCs w:val="24"/>
        </w:rPr>
        <w:t>Recommend or require pre-wiring for smart home features (voice-activated controls, automated doors, environmental controls) to support independent living.</w:t>
      </w:r>
    </w:p>
    <w:p w14:paraId="1A476B2E" w14:textId="77777777" w:rsidR="00FB2FD8" w:rsidRDefault="00FF7AD2">
      <w:pPr>
        <w:numPr>
          <w:ilvl w:val="1"/>
          <w:numId w:val="2"/>
        </w:numPr>
        <w:rPr>
          <w:sz w:val="24"/>
          <w:szCs w:val="24"/>
        </w:rPr>
      </w:pPr>
      <w:r>
        <w:rPr>
          <w:sz w:val="24"/>
          <w:szCs w:val="24"/>
        </w:rPr>
        <w:t xml:space="preserve"> Increase the amount of circuitry in the unit (details in the next section)</w:t>
      </w:r>
    </w:p>
    <w:p w14:paraId="40E78739" w14:textId="77777777" w:rsidR="00FB2FD8" w:rsidRDefault="00FF7AD2">
      <w:pPr>
        <w:numPr>
          <w:ilvl w:val="0"/>
          <w:numId w:val="2"/>
        </w:numPr>
        <w:rPr>
          <w:sz w:val="24"/>
          <w:szCs w:val="24"/>
        </w:rPr>
      </w:pPr>
      <w:r>
        <w:rPr>
          <w:b/>
          <w:bCs/>
          <w:sz w:val="24"/>
          <w:szCs w:val="24"/>
        </w:rPr>
        <w:t>Wayfinding and Visual Contrast:</w:t>
      </w:r>
    </w:p>
    <w:p w14:paraId="0D3B6270" w14:textId="77777777" w:rsidR="00FB2FD8" w:rsidRDefault="00FF7AD2">
      <w:pPr>
        <w:numPr>
          <w:ilvl w:val="1"/>
          <w:numId w:val="2"/>
        </w:numPr>
        <w:spacing w:after="240"/>
        <w:rPr>
          <w:sz w:val="24"/>
          <w:szCs w:val="24"/>
        </w:rPr>
      </w:pPr>
      <w:r>
        <w:rPr>
          <w:sz w:val="24"/>
          <w:szCs w:val="24"/>
        </w:rPr>
        <w:t>Add requirements for high-contrast signage, tactile indicators, and clear wayfinding in common areas to assist residents with visual or cognitive impairments.</w:t>
      </w:r>
    </w:p>
    <w:p w14:paraId="3A3C162A" w14:textId="77777777" w:rsidR="00FB2FD8" w:rsidRDefault="00FB2FD8">
      <w:pPr>
        <w:spacing w:before="240" w:after="240"/>
        <w:ind w:left="720"/>
        <w:rPr>
          <w:b/>
          <w:bCs/>
          <w:sz w:val="24"/>
          <w:szCs w:val="24"/>
        </w:rPr>
      </w:pPr>
    </w:p>
    <w:p w14:paraId="2E2B1AEE" w14:textId="77777777" w:rsidR="00FB2FD8" w:rsidRDefault="00FB2FD8">
      <w:pPr>
        <w:spacing w:before="240" w:after="240"/>
        <w:rPr>
          <w:b/>
          <w:bCs/>
          <w:sz w:val="24"/>
          <w:szCs w:val="24"/>
        </w:rPr>
      </w:pPr>
    </w:p>
    <w:p w14:paraId="46B4F5DA" w14:textId="77777777" w:rsidR="00FB2FD8" w:rsidRDefault="00FF7AD2">
      <w:pPr>
        <w:numPr>
          <w:ilvl w:val="0"/>
          <w:numId w:val="2"/>
        </w:numPr>
        <w:spacing w:before="240"/>
        <w:rPr>
          <w:sz w:val="24"/>
          <w:szCs w:val="24"/>
        </w:rPr>
      </w:pPr>
      <w:r>
        <w:rPr>
          <w:b/>
          <w:bCs/>
          <w:sz w:val="24"/>
          <w:szCs w:val="24"/>
        </w:rPr>
        <w:t>Accessible Outdoor Amenities:</w:t>
      </w:r>
    </w:p>
    <w:p w14:paraId="27487A6C" w14:textId="77777777" w:rsidR="00FB2FD8" w:rsidRDefault="00FF7AD2">
      <w:pPr>
        <w:numPr>
          <w:ilvl w:val="1"/>
          <w:numId w:val="2"/>
        </w:numPr>
        <w:rPr>
          <w:sz w:val="24"/>
          <w:szCs w:val="24"/>
        </w:rPr>
      </w:pPr>
      <w:r>
        <w:rPr>
          <w:sz w:val="24"/>
          <w:szCs w:val="24"/>
        </w:rPr>
        <w:t>Expand requirements for accessible outdoor spaces, such as community gardens, recreation areas, and walking paths, ensuring they are usable by people with various disabilities.</w:t>
      </w:r>
    </w:p>
    <w:p w14:paraId="228D4CFD" w14:textId="77777777" w:rsidR="00FB2FD8" w:rsidRDefault="00FF7AD2">
      <w:pPr>
        <w:numPr>
          <w:ilvl w:val="0"/>
          <w:numId w:val="2"/>
        </w:numPr>
        <w:rPr>
          <w:b/>
          <w:bCs/>
          <w:sz w:val="24"/>
          <w:szCs w:val="24"/>
        </w:rPr>
      </w:pPr>
      <w:r>
        <w:rPr>
          <w:b/>
          <w:bCs/>
          <w:sz w:val="24"/>
          <w:szCs w:val="24"/>
        </w:rPr>
        <w:t>Sidewalks:</w:t>
      </w:r>
    </w:p>
    <w:p w14:paraId="21CF51E4" w14:textId="77777777" w:rsidR="00FB2FD8" w:rsidRDefault="00FF7AD2">
      <w:pPr>
        <w:numPr>
          <w:ilvl w:val="1"/>
          <w:numId w:val="2"/>
        </w:numPr>
        <w:rPr>
          <w:sz w:val="24"/>
          <w:szCs w:val="24"/>
        </w:rPr>
      </w:pPr>
      <w:r>
        <w:rPr>
          <w:sz w:val="24"/>
          <w:szCs w:val="24"/>
        </w:rPr>
        <w:t xml:space="preserve"> Not only do the sidewalks need to be a minimum of </w:t>
      </w:r>
      <w:proofErr w:type="gramStart"/>
      <w:r>
        <w:rPr>
          <w:sz w:val="24"/>
          <w:szCs w:val="24"/>
        </w:rPr>
        <w:t>5-feet</w:t>
      </w:r>
      <w:proofErr w:type="gramEnd"/>
      <w:r>
        <w:rPr>
          <w:sz w:val="24"/>
          <w:szCs w:val="24"/>
        </w:rPr>
        <w:t xml:space="preserve"> in width (DAS, 2027) they also need to ensure that sidewalks are not steep and are either made of concrete or asphalt.</w:t>
      </w:r>
    </w:p>
    <w:p w14:paraId="29855259" w14:textId="77777777" w:rsidR="00FB2FD8" w:rsidRDefault="00FF7AD2">
      <w:pPr>
        <w:numPr>
          <w:ilvl w:val="0"/>
          <w:numId w:val="2"/>
        </w:numPr>
        <w:rPr>
          <w:sz w:val="24"/>
          <w:szCs w:val="24"/>
        </w:rPr>
      </w:pPr>
      <w:r>
        <w:rPr>
          <w:b/>
          <w:bCs/>
          <w:sz w:val="24"/>
          <w:szCs w:val="24"/>
        </w:rPr>
        <w:t>Resident Engagement:</w:t>
      </w:r>
    </w:p>
    <w:p w14:paraId="7AB4F4D9" w14:textId="77777777" w:rsidR="00FB2FD8" w:rsidRDefault="00FF7AD2">
      <w:pPr>
        <w:numPr>
          <w:ilvl w:val="1"/>
          <w:numId w:val="2"/>
        </w:numPr>
        <w:rPr>
          <w:sz w:val="24"/>
          <w:szCs w:val="24"/>
        </w:rPr>
      </w:pPr>
      <w:r>
        <w:rPr>
          <w:sz w:val="24"/>
          <w:szCs w:val="24"/>
        </w:rPr>
        <w:t>Suggest involving people with disabilities in the design review process to identify barriers and opportunities not covered by code.  Centers for independent living could be one resource or the county boards of developmental disabilities.</w:t>
      </w:r>
    </w:p>
    <w:p w14:paraId="0B2224D8" w14:textId="77777777" w:rsidR="00FB2FD8" w:rsidRDefault="00FF7AD2">
      <w:pPr>
        <w:numPr>
          <w:ilvl w:val="0"/>
          <w:numId w:val="2"/>
        </w:numPr>
        <w:rPr>
          <w:sz w:val="24"/>
          <w:szCs w:val="24"/>
        </w:rPr>
      </w:pPr>
      <w:r>
        <w:rPr>
          <w:b/>
          <w:bCs/>
          <w:sz w:val="24"/>
          <w:szCs w:val="24"/>
        </w:rPr>
        <w:t>Ongoing Accessibility Audits:</w:t>
      </w:r>
    </w:p>
    <w:p w14:paraId="37EC1742" w14:textId="77777777" w:rsidR="00FB2FD8" w:rsidRDefault="00FF7AD2">
      <w:pPr>
        <w:numPr>
          <w:ilvl w:val="1"/>
          <w:numId w:val="2"/>
        </w:numPr>
        <w:spacing w:after="240"/>
        <w:rPr>
          <w:sz w:val="24"/>
          <w:szCs w:val="24"/>
        </w:rPr>
      </w:pPr>
      <w:r>
        <w:rPr>
          <w:sz w:val="24"/>
          <w:szCs w:val="24"/>
        </w:rPr>
        <w:t>Require periodic accessibility audits post-occupancy to ensure features remain functional and relevant as resident needs evolve.</w:t>
      </w:r>
    </w:p>
    <w:p w14:paraId="77451FEE" w14:textId="77777777" w:rsidR="00FB2FD8" w:rsidRDefault="00FF7AD2">
      <w:pPr>
        <w:pStyle w:val="Heading3"/>
        <w:keepNext w:val="0"/>
        <w:keepLines w:val="0"/>
        <w:spacing w:before="280"/>
        <w:rPr>
          <w:b/>
          <w:bCs/>
          <w:color w:val="000000"/>
          <w:sz w:val="24"/>
          <w:szCs w:val="24"/>
        </w:rPr>
      </w:pPr>
      <w:bookmarkStart w:id="1" w:name="_jwv0ixcl8mim" w:colFirst="0" w:colLast="0"/>
      <w:bookmarkEnd w:id="1"/>
      <w:r>
        <w:rPr>
          <w:b/>
          <w:bCs/>
          <w:color w:val="000000"/>
          <w:sz w:val="24"/>
          <w:szCs w:val="24"/>
        </w:rPr>
        <w:t>Example Implementation</w:t>
      </w:r>
    </w:p>
    <w:p w14:paraId="31E6EF50" w14:textId="77777777" w:rsidR="00FB2FD8" w:rsidRDefault="00FF7AD2">
      <w:pPr>
        <w:numPr>
          <w:ilvl w:val="0"/>
          <w:numId w:val="1"/>
        </w:numPr>
        <w:spacing w:before="240"/>
        <w:rPr>
          <w:sz w:val="24"/>
          <w:szCs w:val="24"/>
        </w:rPr>
      </w:pPr>
      <w:r>
        <w:rPr>
          <w:b/>
          <w:bCs/>
          <w:sz w:val="24"/>
          <w:szCs w:val="24"/>
        </w:rPr>
        <w:t>Universal Design Incentive:</w:t>
      </w:r>
      <w:r>
        <w:rPr>
          <w:sz w:val="24"/>
          <w:szCs w:val="24"/>
        </w:rPr>
        <w:t xml:space="preserve"> Offer scoring incentives or additional funding for projects where 100% of units incorporate universal design features (e.g., lever handles, no-step entries, adjustable countertops).</w:t>
      </w:r>
    </w:p>
    <w:p w14:paraId="0377A1AA" w14:textId="77777777" w:rsidR="00FB2FD8" w:rsidRDefault="00FF7AD2">
      <w:pPr>
        <w:numPr>
          <w:ilvl w:val="0"/>
          <w:numId w:val="1"/>
        </w:numPr>
        <w:rPr>
          <w:sz w:val="24"/>
          <w:szCs w:val="24"/>
        </w:rPr>
      </w:pPr>
      <w:r>
        <w:rPr>
          <w:b/>
          <w:bCs/>
          <w:sz w:val="24"/>
          <w:szCs w:val="24"/>
        </w:rPr>
        <w:t>Smart Home Readiness:</w:t>
      </w:r>
      <w:r>
        <w:rPr>
          <w:sz w:val="24"/>
          <w:szCs w:val="24"/>
        </w:rPr>
        <w:t xml:space="preserve"> Require all new units to include wiring for future installation of assistive technology (e.g., outlets at strategic heights, Wi-Fi coverage, conduit for door operators).</w:t>
      </w:r>
    </w:p>
    <w:p w14:paraId="1F81A2D1" w14:textId="77777777" w:rsidR="00FB2FD8" w:rsidRDefault="00FF7AD2">
      <w:pPr>
        <w:numPr>
          <w:ilvl w:val="0"/>
          <w:numId w:val="1"/>
        </w:numPr>
        <w:rPr>
          <w:sz w:val="24"/>
          <w:szCs w:val="24"/>
        </w:rPr>
      </w:pPr>
      <w:r>
        <w:rPr>
          <w:b/>
          <w:bCs/>
          <w:sz w:val="24"/>
          <w:szCs w:val="24"/>
        </w:rPr>
        <w:t>Install additional dedicated circuits</w:t>
      </w:r>
      <w:r>
        <w:rPr>
          <w:sz w:val="24"/>
          <w:szCs w:val="24"/>
        </w:rPr>
        <w:t xml:space="preserve"> in accessible units to support high-load devices such as power wheelchair chargers, hospital beds, and medical equipment.</w:t>
      </w:r>
    </w:p>
    <w:p w14:paraId="4B4FFE46" w14:textId="77777777" w:rsidR="00FB2FD8" w:rsidRDefault="00FF7AD2">
      <w:pPr>
        <w:numPr>
          <w:ilvl w:val="0"/>
          <w:numId w:val="1"/>
        </w:numPr>
        <w:rPr>
          <w:sz w:val="24"/>
          <w:szCs w:val="24"/>
        </w:rPr>
      </w:pPr>
      <w:r>
        <w:rPr>
          <w:b/>
          <w:bCs/>
          <w:sz w:val="24"/>
          <w:szCs w:val="24"/>
        </w:rPr>
        <w:t>Provide extra outlets</w:t>
      </w:r>
      <w:r>
        <w:rPr>
          <w:sz w:val="24"/>
          <w:szCs w:val="24"/>
        </w:rPr>
        <w:t xml:space="preserve"> in bedrooms, living areas, and near beds to accommodate multiple devices and chargers.</w:t>
      </w:r>
    </w:p>
    <w:p w14:paraId="56DA8ECE" w14:textId="77777777" w:rsidR="00FB2FD8" w:rsidRDefault="00FF7AD2">
      <w:pPr>
        <w:numPr>
          <w:ilvl w:val="0"/>
          <w:numId w:val="1"/>
        </w:numPr>
        <w:rPr>
          <w:sz w:val="24"/>
          <w:szCs w:val="24"/>
        </w:rPr>
      </w:pPr>
      <w:r>
        <w:rPr>
          <w:b/>
          <w:bCs/>
          <w:sz w:val="24"/>
          <w:szCs w:val="24"/>
        </w:rPr>
        <w:t>Ensure outlets are placed at accessible heights</w:t>
      </w:r>
      <w:r>
        <w:rPr>
          <w:sz w:val="24"/>
          <w:szCs w:val="24"/>
        </w:rPr>
        <w:t xml:space="preserve"> (at least 18 inches above finished floor, as already recommended) for ease of use by residents with limited mobility.</w:t>
      </w:r>
    </w:p>
    <w:p w14:paraId="19A56AB3" w14:textId="77777777" w:rsidR="00FB2FD8" w:rsidRDefault="00FF7AD2">
      <w:pPr>
        <w:numPr>
          <w:ilvl w:val="0"/>
          <w:numId w:val="1"/>
        </w:numPr>
        <w:rPr>
          <w:sz w:val="24"/>
          <w:szCs w:val="24"/>
        </w:rPr>
      </w:pPr>
      <w:r>
        <w:rPr>
          <w:b/>
          <w:bCs/>
          <w:sz w:val="24"/>
          <w:szCs w:val="24"/>
        </w:rPr>
        <w:t>Wayfinding:</w:t>
      </w:r>
      <w:r>
        <w:rPr>
          <w:sz w:val="24"/>
          <w:szCs w:val="24"/>
        </w:rPr>
        <w:t xml:space="preserve"> Mandate tactile and high-contrast signage at all major decision points in circulation spaces.</w:t>
      </w:r>
    </w:p>
    <w:p w14:paraId="79FB2426" w14:textId="77777777" w:rsidR="00FB2FD8" w:rsidRDefault="00FF7AD2">
      <w:pPr>
        <w:numPr>
          <w:ilvl w:val="0"/>
          <w:numId w:val="1"/>
        </w:numPr>
        <w:rPr>
          <w:sz w:val="24"/>
          <w:szCs w:val="24"/>
        </w:rPr>
      </w:pPr>
      <w:r>
        <w:rPr>
          <w:b/>
          <w:bCs/>
          <w:sz w:val="24"/>
          <w:szCs w:val="24"/>
        </w:rPr>
        <w:lastRenderedPageBreak/>
        <w:t>Grab Bars</w:t>
      </w:r>
      <w:r>
        <w:rPr>
          <w:sz w:val="24"/>
          <w:szCs w:val="24"/>
        </w:rPr>
        <w:t xml:space="preserve"> - Require grab bar blocking in all bathroom walls at toilets and tubs/showers to avoid expensive retrofits when reasonable modifications are requested.</w:t>
      </w:r>
    </w:p>
    <w:p w14:paraId="32A6BED1" w14:textId="77777777" w:rsidR="00FB2FD8" w:rsidRDefault="00FF7AD2">
      <w:pPr>
        <w:numPr>
          <w:ilvl w:val="0"/>
          <w:numId w:val="1"/>
        </w:numPr>
        <w:rPr>
          <w:sz w:val="24"/>
          <w:szCs w:val="24"/>
        </w:rPr>
      </w:pPr>
      <w:r>
        <w:rPr>
          <w:b/>
          <w:bCs/>
          <w:sz w:val="24"/>
          <w:szCs w:val="24"/>
        </w:rPr>
        <w:t>Door Width</w:t>
      </w:r>
      <w:r>
        <w:rPr>
          <w:sz w:val="24"/>
          <w:szCs w:val="24"/>
        </w:rPr>
        <w:t xml:space="preserve"> - Increase the minimum clear width to 36” to support larger people and larger mobility devices.</w:t>
      </w:r>
    </w:p>
    <w:p w14:paraId="41F318E4" w14:textId="77777777" w:rsidR="00FB2FD8" w:rsidRDefault="00FF7AD2">
      <w:pPr>
        <w:numPr>
          <w:ilvl w:val="0"/>
          <w:numId w:val="1"/>
        </w:numPr>
        <w:spacing w:after="240"/>
        <w:rPr>
          <w:sz w:val="24"/>
          <w:szCs w:val="24"/>
        </w:rPr>
      </w:pPr>
      <w:r>
        <w:rPr>
          <w:b/>
          <w:bCs/>
          <w:sz w:val="24"/>
          <w:szCs w:val="24"/>
        </w:rPr>
        <w:t>Kick Plates</w:t>
      </w:r>
      <w:r>
        <w:rPr>
          <w:sz w:val="24"/>
          <w:szCs w:val="24"/>
        </w:rPr>
        <w:t xml:space="preserve"> - Require kickplates to be a minimum of 12 inches high from the bottom of the door. This ensures people using taller mobility devices are covered.</w:t>
      </w:r>
    </w:p>
    <w:p w14:paraId="260EA8D0" w14:textId="77777777" w:rsidR="00FB2FD8" w:rsidRDefault="00FF7AD2">
      <w:pPr>
        <w:spacing w:before="240" w:after="240"/>
        <w:rPr>
          <w:sz w:val="24"/>
          <w:szCs w:val="24"/>
        </w:rPr>
      </w:pPr>
      <w:r>
        <w:rPr>
          <w:sz w:val="24"/>
          <w:szCs w:val="24"/>
        </w:rPr>
        <w:t>These enhancements would further increase the supply of accessible housing and improve the quality of life for people with disabilities.</w:t>
      </w:r>
    </w:p>
    <w:p w14:paraId="1B6F0011" w14:textId="77777777" w:rsidR="00FB2FD8" w:rsidRDefault="00FF7AD2">
      <w:pPr>
        <w:spacing w:before="240" w:after="240"/>
        <w:rPr>
          <w:sz w:val="24"/>
          <w:szCs w:val="24"/>
        </w:rPr>
      </w:pPr>
      <w:r>
        <w:rPr>
          <w:sz w:val="24"/>
          <w:szCs w:val="24"/>
        </w:rPr>
        <w:t>In closing, Ohio faces a significant shortage of affordable, accessible housing for people with disabilities. Many individuals with mobility, sensory, or cognitive impairments struggle to find homes that meet both their physical needs and their financial means. This shortage is compounded by an aging housing stock that often lacks basic accessibility features, as well as by new developments that only meet minimum code requirements, which are frequently insufficient for the daily needs of people with disabil</w:t>
      </w:r>
      <w:r>
        <w:rPr>
          <w:sz w:val="24"/>
          <w:szCs w:val="24"/>
        </w:rPr>
        <w:t>ities. As a result, many Ohioans are forced to live in housing that is either inaccessible or unaffordable, limiting their independence and quality of life.</w:t>
      </w:r>
    </w:p>
    <w:p w14:paraId="0C62511D" w14:textId="77777777" w:rsidR="00FB2FD8" w:rsidRDefault="00FF7AD2">
      <w:pPr>
        <w:spacing w:before="240" w:after="240"/>
        <w:rPr>
          <w:sz w:val="24"/>
          <w:szCs w:val="24"/>
        </w:rPr>
      </w:pPr>
      <w:r>
        <w:rPr>
          <w:sz w:val="24"/>
          <w:szCs w:val="24"/>
        </w:rPr>
        <w:t xml:space="preserve">By encouraging architectural adaptations </w:t>
      </w:r>
      <w:r>
        <w:rPr>
          <w:b/>
          <w:bCs/>
          <w:sz w:val="24"/>
          <w:szCs w:val="24"/>
        </w:rPr>
        <w:t>beyond</w:t>
      </w:r>
      <w:r>
        <w:rPr>
          <w:sz w:val="24"/>
          <w:szCs w:val="24"/>
        </w:rPr>
        <w:t xml:space="preserve"> code minimums and allowing for innovative flex units tailored to specific needs, these standards help ensure that more Ohioans with disabilities can find suitable housing. Over time, these improvements will reduce the shortage of accessible units and promote greater inclusion and independence for people with disabilities across the state.</w:t>
      </w:r>
    </w:p>
    <w:p w14:paraId="32CE7D35" w14:textId="77777777" w:rsidR="00FB2FD8" w:rsidRDefault="00FF7AD2">
      <w:pPr>
        <w:spacing w:before="240" w:after="240"/>
        <w:rPr>
          <w:sz w:val="24"/>
          <w:szCs w:val="24"/>
        </w:rPr>
      </w:pPr>
      <w:r>
        <w:rPr>
          <w:sz w:val="24"/>
          <w:szCs w:val="24"/>
        </w:rPr>
        <w:t xml:space="preserve">For convenience purposes we also have attached comments that The Kelsey, https://thekelsey.org/ has provided. </w:t>
      </w:r>
    </w:p>
    <w:p w14:paraId="36A63285" w14:textId="77777777" w:rsidR="00FB2FD8" w:rsidRDefault="00FF7AD2">
      <w:pPr>
        <w:spacing w:before="240" w:after="240"/>
        <w:rPr>
          <w:sz w:val="24"/>
          <w:szCs w:val="24"/>
        </w:rPr>
      </w:pPr>
      <w:r>
        <w:rPr>
          <w:sz w:val="24"/>
          <w:szCs w:val="24"/>
        </w:rPr>
        <w:t xml:space="preserve">Thank you so much for the opportunity to provide feedback. If you have future questions or </w:t>
      </w:r>
      <w:proofErr w:type="gramStart"/>
      <w:r>
        <w:rPr>
          <w:sz w:val="24"/>
          <w:szCs w:val="24"/>
        </w:rPr>
        <w:t>concerns</w:t>
      </w:r>
      <w:proofErr w:type="gramEnd"/>
      <w:r>
        <w:rPr>
          <w:sz w:val="24"/>
          <w:szCs w:val="24"/>
        </w:rPr>
        <w:t xml:space="preserve"> feel free to reach out directly.</w:t>
      </w:r>
    </w:p>
    <w:p w14:paraId="20ECF11C" w14:textId="77777777" w:rsidR="00FB2FD8" w:rsidRDefault="00FB2FD8">
      <w:pPr>
        <w:rPr>
          <w:sz w:val="24"/>
          <w:szCs w:val="24"/>
        </w:rPr>
      </w:pPr>
    </w:p>
    <w:p w14:paraId="3CEA7C04" w14:textId="77777777" w:rsidR="00FB2FD8" w:rsidRDefault="00FF7AD2">
      <w:pPr>
        <w:rPr>
          <w:sz w:val="24"/>
          <w:szCs w:val="24"/>
        </w:rPr>
      </w:pPr>
      <w:r>
        <w:rPr>
          <w:sz w:val="24"/>
          <w:szCs w:val="24"/>
        </w:rPr>
        <w:t>Jennifer Kucera</w:t>
      </w:r>
    </w:p>
    <w:p w14:paraId="0AA46BD0" w14:textId="77777777" w:rsidR="00FB2FD8" w:rsidRDefault="00FF7AD2">
      <w:pPr>
        <w:rPr>
          <w:sz w:val="24"/>
          <w:szCs w:val="24"/>
        </w:rPr>
      </w:pPr>
      <w:r>
        <w:rPr>
          <w:sz w:val="24"/>
          <w:szCs w:val="24"/>
        </w:rPr>
        <w:t>Ohio Olmstead Task Force</w:t>
      </w:r>
    </w:p>
    <w:p w14:paraId="60C8D38A" w14:textId="77777777" w:rsidR="00FB2FD8" w:rsidRDefault="00FB2FD8">
      <w:pPr>
        <w:rPr>
          <w:sz w:val="24"/>
          <w:szCs w:val="24"/>
        </w:rPr>
      </w:pPr>
    </w:p>
    <w:p w14:paraId="13685231" w14:textId="77777777" w:rsidR="00FB2FD8" w:rsidRDefault="00FF7AD2">
      <w:pPr>
        <w:rPr>
          <w:sz w:val="24"/>
          <w:szCs w:val="24"/>
        </w:rPr>
      </w:pPr>
      <w:hyperlink r:id="rId8">
        <w:r>
          <w:rPr>
            <w:color w:val="1155CC"/>
            <w:sz w:val="24"/>
            <w:szCs w:val="24"/>
            <w:u w:val="single"/>
          </w:rPr>
          <w:t>jenniferkucera134@gmail.com</w:t>
        </w:r>
      </w:hyperlink>
    </w:p>
    <w:p w14:paraId="2425DB59" w14:textId="77777777" w:rsidR="00FB2FD8" w:rsidRDefault="00FF7AD2">
      <w:pPr>
        <w:rPr>
          <w:sz w:val="24"/>
          <w:szCs w:val="24"/>
        </w:rPr>
      </w:pPr>
      <w:r>
        <w:rPr>
          <w:sz w:val="24"/>
          <w:szCs w:val="24"/>
        </w:rPr>
        <w:t>440-990-5355</w:t>
      </w:r>
    </w:p>
    <w:p w14:paraId="5B5CABFD" w14:textId="77777777" w:rsidR="00FB2FD8" w:rsidRDefault="00FB2FD8">
      <w:pPr>
        <w:rPr>
          <w:sz w:val="24"/>
          <w:szCs w:val="24"/>
        </w:rPr>
      </w:pPr>
    </w:p>
    <w:p w14:paraId="0D3EEDC4" w14:textId="77777777" w:rsidR="00FB2FD8" w:rsidRDefault="00FB2FD8">
      <w:pPr>
        <w:rPr>
          <w:sz w:val="24"/>
          <w:szCs w:val="24"/>
        </w:rPr>
      </w:pPr>
    </w:p>
    <w:p w14:paraId="42343E69" w14:textId="77777777" w:rsidR="00FB2FD8" w:rsidRDefault="00FB2FD8">
      <w:pPr>
        <w:rPr>
          <w:sz w:val="24"/>
          <w:szCs w:val="24"/>
        </w:rPr>
      </w:pPr>
    </w:p>
    <w:p w14:paraId="694B238D" w14:textId="77777777" w:rsidR="00FB2FD8" w:rsidRDefault="00FB2FD8">
      <w:pPr>
        <w:rPr>
          <w:sz w:val="24"/>
          <w:szCs w:val="24"/>
        </w:rPr>
      </w:pPr>
    </w:p>
    <w:p w14:paraId="029FB729" w14:textId="77777777" w:rsidR="00FB2FD8" w:rsidRDefault="00FF7AD2">
      <w:pPr>
        <w:widowControl w:val="0"/>
        <w:spacing w:before="250" w:line="237" w:lineRule="auto"/>
        <w:ind w:right="1737"/>
        <w:rPr>
          <w:rFonts w:ascii="Inter" w:eastAsia="Inter" w:hAnsi="Inter" w:cs="Inter"/>
          <w:b/>
          <w:bCs/>
          <w:sz w:val="48"/>
          <w:szCs w:val="48"/>
        </w:rPr>
      </w:pPr>
      <w:r>
        <w:rPr>
          <w:rFonts w:ascii="Inter" w:eastAsia="Inter" w:hAnsi="Inter" w:cs="Inter"/>
          <w:b/>
          <w:bCs/>
          <w:sz w:val="48"/>
          <w:szCs w:val="48"/>
        </w:rPr>
        <w:t xml:space="preserve">Recommendations for OHFA’s 2027 Design &amp; Architectural Standards </w:t>
      </w:r>
      <w:r>
        <w:rPr>
          <w:noProof/>
        </w:rPr>
        <w:drawing>
          <wp:anchor distT="19050" distB="19050" distL="19050" distR="19050" simplePos="0" relativeHeight="251658240" behindDoc="0" locked="0" layoutInCell="1" hidden="0" allowOverlap="1" wp14:anchorId="4BBA08E6" wp14:editId="3AF42DA1">
            <wp:simplePos x="0" y="0"/>
            <wp:positionH relativeFrom="column">
              <wp:posOffset>5294833</wp:posOffset>
            </wp:positionH>
            <wp:positionV relativeFrom="paragraph">
              <wp:posOffset>-140207</wp:posOffset>
            </wp:positionV>
            <wp:extent cx="1085850" cy="1085850"/>
            <wp:effectExtent l="0" t="0" r="0" b="0"/>
            <wp:wrapSquare wrapText="left" distT="19050" distB="19050" distL="19050" distR="1905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085850" cy="1085850"/>
                    </a:xfrm>
                    <a:prstGeom prst="rect">
                      <a:avLst/>
                    </a:prstGeom>
                    <a:ln/>
                  </pic:spPr>
                </pic:pic>
              </a:graphicData>
            </a:graphic>
          </wp:anchor>
        </w:drawing>
      </w:r>
    </w:p>
    <w:p w14:paraId="444258B1" w14:textId="77777777" w:rsidR="00FB2FD8" w:rsidRDefault="00FF7AD2">
      <w:pPr>
        <w:widowControl w:val="0"/>
        <w:spacing w:before="234" w:line="274" w:lineRule="auto"/>
        <w:ind w:left="10" w:hanging="8"/>
        <w:rPr>
          <w:rFonts w:ascii="Helvetica Neue" w:eastAsia="Helvetica Neue" w:hAnsi="Helvetica Neue" w:cs="Helvetica Neue"/>
          <w:color w:val="1D1C1D"/>
          <w:sz w:val="24"/>
          <w:szCs w:val="24"/>
        </w:rPr>
      </w:pPr>
      <w:r>
        <w:rPr>
          <w:rFonts w:ascii="Helvetica Neue" w:eastAsia="Helvetica Neue" w:hAnsi="Helvetica Neue" w:cs="Helvetica Neue"/>
          <w:color w:val="1D1C1D"/>
          <w:sz w:val="24"/>
          <w:szCs w:val="24"/>
          <w:highlight w:val="white"/>
        </w:rPr>
        <w:t>This document contains comments and recommendations for the 2027 Design &amp; Architectural</w:t>
      </w:r>
      <w:r>
        <w:rPr>
          <w:rFonts w:ascii="Helvetica Neue" w:eastAsia="Helvetica Neue" w:hAnsi="Helvetica Neue" w:cs="Helvetica Neue"/>
          <w:color w:val="1D1C1D"/>
          <w:sz w:val="24"/>
          <w:szCs w:val="24"/>
        </w:rPr>
        <w:t xml:space="preserve"> </w:t>
      </w:r>
      <w:r>
        <w:rPr>
          <w:rFonts w:ascii="Helvetica Neue" w:eastAsia="Helvetica Neue" w:hAnsi="Helvetica Neue" w:cs="Helvetica Neue"/>
          <w:color w:val="1D1C1D"/>
          <w:sz w:val="24"/>
          <w:szCs w:val="24"/>
          <w:highlight w:val="white"/>
        </w:rPr>
        <w:t>Standards draft. It is very clear that OHFA has put a lot of consideration into this document for</w:t>
      </w:r>
      <w:r>
        <w:rPr>
          <w:rFonts w:ascii="Helvetica Neue" w:eastAsia="Helvetica Neue" w:hAnsi="Helvetica Neue" w:cs="Helvetica Neue"/>
          <w:color w:val="1D1C1D"/>
          <w:sz w:val="24"/>
          <w:szCs w:val="24"/>
        </w:rPr>
        <w:t xml:space="preserve"> </w:t>
      </w:r>
      <w:r>
        <w:rPr>
          <w:rFonts w:ascii="Helvetica Neue" w:eastAsia="Helvetica Neue" w:hAnsi="Helvetica Neue" w:cs="Helvetica Neue"/>
          <w:color w:val="1D1C1D"/>
          <w:sz w:val="24"/>
          <w:szCs w:val="24"/>
          <w:highlight w:val="white"/>
        </w:rPr>
        <w:t>people with disabilities. Our recommendations are organized and identified by section in the</w:t>
      </w:r>
      <w:r>
        <w:rPr>
          <w:rFonts w:ascii="Helvetica Neue" w:eastAsia="Helvetica Neue" w:hAnsi="Helvetica Neue" w:cs="Helvetica Neue"/>
          <w:color w:val="1D1C1D"/>
          <w:sz w:val="24"/>
          <w:szCs w:val="24"/>
        </w:rPr>
        <w:t xml:space="preserve"> </w:t>
      </w:r>
      <w:r>
        <w:rPr>
          <w:rFonts w:ascii="Helvetica Neue" w:eastAsia="Helvetica Neue" w:hAnsi="Helvetica Neue" w:cs="Helvetica Neue"/>
          <w:color w:val="1D1C1D"/>
          <w:sz w:val="24"/>
          <w:szCs w:val="24"/>
          <w:highlight w:val="white"/>
        </w:rPr>
        <w:t>draft.</w:t>
      </w:r>
      <w:r>
        <w:rPr>
          <w:rFonts w:ascii="Helvetica Neue" w:eastAsia="Helvetica Neue" w:hAnsi="Helvetica Neue" w:cs="Helvetica Neue"/>
          <w:color w:val="1D1C1D"/>
          <w:sz w:val="24"/>
          <w:szCs w:val="24"/>
        </w:rPr>
        <w:t xml:space="preserve"> </w:t>
      </w:r>
    </w:p>
    <w:p w14:paraId="40514C01" w14:textId="77777777" w:rsidR="00FB2FD8" w:rsidRDefault="00FF7AD2">
      <w:pPr>
        <w:widowControl w:val="0"/>
        <w:spacing w:before="300" w:line="240" w:lineRule="auto"/>
        <w:ind w:left="7"/>
        <w:rPr>
          <w:rFonts w:ascii="Inter" w:eastAsia="Inter" w:hAnsi="Inter" w:cs="Inter"/>
          <w:b/>
          <w:bCs/>
          <w:color w:val="212124"/>
          <w:sz w:val="24"/>
          <w:szCs w:val="24"/>
        </w:rPr>
      </w:pPr>
      <w:r>
        <w:rPr>
          <w:rFonts w:ascii="Inter" w:eastAsia="Inter" w:hAnsi="Inter" w:cs="Inter"/>
          <w:b/>
          <w:bCs/>
          <w:color w:val="212124"/>
          <w:sz w:val="24"/>
          <w:szCs w:val="24"/>
        </w:rPr>
        <w:t xml:space="preserve">A quick word on mobility and sensory unit requirements: </w:t>
      </w:r>
    </w:p>
    <w:p w14:paraId="09DD9AB5" w14:textId="77777777" w:rsidR="00FB2FD8" w:rsidRDefault="00FF7AD2">
      <w:pPr>
        <w:widowControl w:val="0"/>
        <w:spacing w:before="244" w:line="274" w:lineRule="auto"/>
        <w:ind w:left="16" w:right="206" w:hanging="14"/>
        <w:rPr>
          <w:rFonts w:ascii="Helvetica Neue" w:eastAsia="Helvetica Neue" w:hAnsi="Helvetica Neue" w:cs="Helvetica Neue"/>
          <w:sz w:val="24"/>
          <w:szCs w:val="24"/>
        </w:rPr>
      </w:pPr>
      <w:r>
        <w:rPr>
          <w:rFonts w:ascii="Helvetica Neue" w:eastAsia="Helvetica Neue" w:hAnsi="Helvetica Neue" w:cs="Helvetica Neue"/>
          <w:sz w:val="24"/>
          <w:szCs w:val="24"/>
        </w:rPr>
        <w:t xml:space="preserve">The California Tax Credit Allocation Committee (CTCAC) administers the federal and state Low-Income Housing Tax Credit Programs for </w:t>
      </w:r>
      <w:proofErr w:type="gramStart"/>
      <w:r>
        <w:rPr>
          <w:rFonts w:ascii="Helvetica Neue" w:eastAsia="Helvetica Neue" w:hAnsi="Helvetica Neue" w:cs="Helvetica Neue"/>
          <w:sz w:val="24"/>
          <w:szCs w:val="24"/>
        </w:rPr>
        <w:t>California, and</w:t>
      </w:r>
      <w:proofErr w:type="gramEnd"/>
      <w:r>
        <w:rPr>
          <w:rFonts w:ascii="Helvetica Neue" w:eastAsia="Helvetica Neue" w:hAnsi="Helvetica Neue" w:cs="Helvetica Neue"/>
          <w:sz w:val="24"/>
          <w:szCs w:val="24"/>
        </w:rPr>
        <w:t xml:space="preserve"> has some of the most progressive requirements for mobility and sensory units in the country. Their standard requirements for new construction </w:t>
      </w:r>
      <w:proofErr w:type="gramStart"/>
      <w:r>
        <w:rPr>
          <w:rFonts w:ascii="Helvetica Neue" w:eastAsia="Helvetica Neue" w:hAnsi="Helvetica Neue" w:cs="Helvetica Neue"/>
          <w:sz w:val="24"/>
          <w:szCs w:val="24"/>
        </w:rPr>
        <w:t>are:</w:t>
      </w:r>
      <w:proofErr w:type="gramEnd"/>
      <w:r>
        <w:rPr>
          <w:rFonts w:ascii="Helvetica Neue" w:eastAsia="Helvetica Neue" w:hAnsi="Helvetica Neue" w:cs="Helvetica Neue"/>
          <w:sz w:val="24"/>
          <w:szCs w:val="24"/>
        </w:rPr>
        <w:t xml:space="preserve"> at least 15% mobility units and at least 10% sensory units; for rehabs, those numbers are 10% and 4%, respectively. Our recommendation is to make these requirements the baseline for unit distribution in Ohio. </w:t>
      </w:r>
    </w:p>
    <w:p w14:paraId="1584CB27" w14:textId="77777777" w:rsidR="00FB2FD8" w:rsidRDefault="00FF7AD2">
      <w:pPr>
        <w:widowControl w:val="0"/>
        <w:spacing w:before="538" w:line="240" w:lineRule="auto"/>
        <w:ind w:left="19"/>
        <w:rPr>
          <w:rFonts w:ascii="Inter" w:eastAsia="Inter" w:hAnsi="Inter" w:cs="Inter"/>
          <w:b/>
          <w:bCs/>
          <w:color w:val="212124"/>
          <w:sz w:val="40"/>
          <w:szCs w:val="40"/>
        </w:rPr>
      </w:pPr>
      <w:r>
        <w:rPr>
          <w:rFonts w:ascii="Inter" w:eastAsia="Inter" w:hAnsi="Inter" w:cs="Inter"/>
          <w:b/>
          <w:bCs/>
          <w:color w:val="212124"/>
          <w:sz w:val="40"/>
          <w:szCs w:val="40"/>
        </w:rPr>
        <w:t xml:space="preserve">General Requirements </w:t>
      </w:r>
    </w:p>
    <w:p w14:paraId="22724FE4" w14:textId="77777777" w:rsidR="00FB2FD8" w:rsidRDefault="00FF7AD2">
      <w:pPr>
        <w:widowControl w:val="0"/>
        <w:spacing w:before="284"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G5: Number of Section 504 Mobility Units </w:t>
      </w:r>
    </w:p>
    <w:p w14:paraId="166FA490" w14:textId="77777777" w:rsidR="00FB2FD8" w:rsidRDefault="00FF7AD2">
      <w:pPr>
        <w:widowControl w:val="0"/>
        <w:spacing w:before="244" w:line="274" w:lineRule="auto"/>
        <w:ind w:right="461" w:hanging="3"/>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Affordable Assisted Living: </w:t>
      </w:r>
      <w:r>
        <w:rPr>
          <w:rFonts w:ascii="Helvetica Neue" w:eastAsia="Helvetica Neue" w:hAnsi="Helvetica Neue" w:cs="Helvetica Neue"/>
          <w:sz w:val="24"/>
          <w:szCs w:val="24"/>
        </w:rPr>
        <w:t xml:space="preserve">The 20% mobility and 10% sensory unit requirement for this typology is excellent. For this typology, we recommend requiring grab bar blocking in ALL bathroom walls at toilets and tubs/showers to avoid expensive retrofits when reasonable modifications are requested. </w:t>
      </w:r>
    </w:p>
    <w:p w14:paraId="5408EDC5" w14:textId="77777777" w:rsidR="00FB2FD8" w:rsidRDefault="00FF7AD2">
      <w:pPr>
        <w:widowControl w:val="0"/>
        <w:spacing w:before="345" w:line="274" w:lineRule="auto"/>
        <w:ind w:left="6" w:right="84" w:hanging="1"/>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Seniors (New Construction) &amp; Tenants w/ Special Housing Needs (New Construction): </w:t>
      </w:r>
      <w:r>
        <w:rPr>
          <w:rFonts w:ascii="Helvetica Neue" w:eastAsia="Helvetica Neue" w:hAnsi="Helvetica Neue" w:cs="Helvetica Neue"/>
          <w:sz w:val="24"/>
          <w:szCs w:val="24"/>
        </w:rPr>
        <w:t xml:space="preserve">For this typology, we recommend increasing the percentages to 15% </w:t>
      </w:r>
      <w:r>
        <w:rPr>
          <w:rFonts w:ascii="Helvetica Neue" w:eastAsia="Helvetica Neue" w:hAnsi="Helvetica Neue" w:cs="Helvetica Neue"/>
          <w:sz w:val="24"/>
          <w:szCs w:val="24"/>
        </w:rPr>
        <w:lastRenderedPageBreak/>
        <w:t xml:space="preserve">mobility units and 10% sensory units. </w:t>
      </w:r>
    </w:p>
    <w:p w14:paraId="75968703" w14:textId="77777777" w:rsidR="00FB2FD8" w:rsidRDefault="00FF7AD2">
      <w:pPr>
        <w:widowControl w:val="0"/>
        <w:spacing w:before="345" w:line="274" w:lineRule="auto"/>
        <w:ind w:right="782" w:firstLine="10"/>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General Occupancy (New Construction) and All Rehab: </w:t>
      </w:r>
      <w:r>
        <w:rPr>
          <w:rFonts w:ascii="Helvetica Neue" w:eastAsia="Helvetica Neue" w:hAnsi="Helvetica Neue" w:cs="Helvetica Neue"/>
          <w:sz w:val="24"/>
          <w:szCs w:val="24"/>
        </w:rPr>
        <w:t xml:space="preserve">The parking expectation for semi-ambulatory units is great. We recommend removing the parking section from the semi-ambulatory unit requirements and making the rule apply to all mobility units. Additionally, we recommend bumping the percentage of sensory units from 2% to 4%. </w:t>
      </w:r>
    </w:p>
    <w:p w14:paraId="2AC6863C" w14:textId="77777777" w:rsidR="00FB2FD8" w:rsidRDefault="00FF7AD2">
      <w:pPr>
        <w:widowControl w:val="0"/>
        <w:spacing w:before="345" w:line="274" w:lineRule="auto"/>
        <w:ind w:right="782" w:firstLine="10"/>
        <w:rPr>
          <w:rFonts w:ascii="Inter" w:eastAsia="Inter" w:hAnsi="Inter" w:cs="Inter"/>
          <w:b/>
          <w:bCs/>
          <w:color w:val="1A4ACB"/>
          <w:sz w:val="24"/>
          <w:szCs w:val="24"/>
        </w:rPr>
      </w:pPr>
      <w:r>
        <w:rPr>
          <w:rFonts w:ascii="Inter" w:eastAsia="Inter" w:hAnsi="Inter" w:cs="Inter"/>
          <w:b/>
          <w:bCs/>
          <w:color w:val="1A4ACB"/>
          <w:sz w:val="24"/>
          <w:szCs w:val="24"/>
        </w:rPr>
        <w:t>thekelsey.org</w:t>
      </w:r>
    </w:p>
    <w:p w14:paraId="1D188749" w14:textId="77777777" w:rsidR="00FB2FD8" w:rsidRDefault="00FF7AD2">
      <w:pPr>
        <w:widowControl w:val="0"/>
        <w:spacing w:before="250" w:line="237" w:lineRule="auto"/>
        <w:ind w:left="33" w:right="1737"/>
        <w:rPr>
          <w:rFonts w:ascii="Inter" w:eastAsia="Inter" w:hAnsi="Inter" w:cs="Inter"/>
          <w:b/>
          <w:bCs/>
          <w:sz w:val="48"/>
          <w:szCs w:val="48"/>
        </w:rPr>
      </w:pPr>
      <w:r>
        <w:rPr>
          <w:rFonts w:ascii="Inter" w:eastAsia="Inter" w:hAnsi="Inter" w:cs="Inter"/>
          <w:b/>
          <w:bCs/>
          <w:sz w:val="48"/>
          <w:szCs w:val="48"/>
        </w:rPr>
        <w:t xml:space="preserve">Recommendations for OHFA’s 2027 Design &amp; Architectural Standards </w:t>
      </w:r>
      <w:r>
        <w:rPr>
          <w:noProof/>
        </w:rPr>
        <w:drawing>
          <wp:anchor distT="19050" distB="19050" distL="19050" distR="19050" simplePos="0" relativeHeight="251659264" behindDoc="0" locked="0" layoutInCell="1" hidden="0" allowOverlap="1" wp14:anchorId="44875DAB" wp14:editId="18213D58">
            <wp:simplePos x="0" y="0"/>
            <wp:positionH relativeFrom="column">
              <wp:posOffset>5294833</wp:posOffset>
            </wp:positionH>
            <wp:positionV relativeFrom="paragraph">
              <wp:posOffset>-140207</wp:posOffset>
            </wp:positionV>
            <wp:extent cx="1085850" cy="1085850"/>
            <wp:effectExtent l="0" t="0" r="0" b="0"/>
            <wp:wrapSquare wrapText="left" distT="19050" distB="19050" distL="19050" distR="1905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085850" cy="1085850"/>
                    </a:xfrm>
                    <a:prstGeom prst="rect">
                      <a:avLst/>
                    </a:prstGeom>
                    <a:ln/>
                  </pic:spPr>
                </pic:pic>
              </a:graphicData>
            </a:graphic>
          </wp:anchor>
        </w:drawing>
      </w:r>
    </w:p>
    <w:p w14:paraId="510ACD0A" w14:textId="77777777" w:rsidR="00FB2FD8" w:rsidRDefault="00FF7AD2">
      <w:pPr>
        <w:widowControl w:val="0"/>
        <w:spacing w:before="228" w:line="240" w:lineRule="auto"/>
        <w:ind w:left="19"/>
        <w:rPr>
          <w:rFonts w:ascii="Inter" w:eastAsia="Inter" w:hAnsi="Inter" w:cs="Inter"/>
          <w:b/>
          <w:bCs/>
          <w:color w:val="212124"/>
          <w:sz w:val="40"/>
          <w:szCs w:val="40"/>
        </w:rPr>
      </w:pPr>
      <w:r>
        <w:rPr>
          <w:rFonts w:ascii="Inter" w:eastAsia="Inter" w:hAnsi="Inter" w:cs="Inter"/>
          <w:b/>
          <w:bCs/>
          <w:color w:val="212124"/>
          <w:sz w:val="40"/>
          <w:szCs w:val="40"/>
        </w:rPr>
        <w:t xml:space="preserve">Guidelines for New Construction </w:t>
      </w:r>
    </w:p>
    <w:p w14:paraId="2668EA73" w14:textId="77777777" w:rsidR="00FB2FD8" w:rsidRDefault="00FF7AD2">
      <w:pPr>
        <w:widowControl w:val="0"/>
        <w:spacing w:before="294"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N3.1: Site Design </w:t>
      </w:r>
    </w:p>
    <w:p w14:paraId="21F7143F" w14:textId="77777777" w:rsidR="00FB2FD8" w:rsidRDefault="00FF7AD2">
      <w:pPr>
        <w:widowControl w:val="0"/>
        <w:spacing w:before="254" w:line="274" w:lineRule="auto"/>
        <w:ind w:left="19" w:right="279" w:hanging="1"/>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N3.1.2: </w:t>
      </w:r>
      <w:r>
        <w:rPr>
          <w:rFonts w:ascii="Helvetica Neue" w:eastAsia="Helvetica Neue" w:hAnsi="Helvetica Neue" w:cs="Helvetica Neue"/>
          <w:sz w:val="24"/>
          <w:szCs w:val="24"/>
        </w:rPr>
        <w:t xml:space="preserve">Increasing the depth of the entry covering for mobility units is a great consideration. No recommendations. </w:t>
      </w:r>
    </w:p>
    <w:p w14:paraId="1ED07FE4" w14:textId="77777777" w:rsidR="00FB2FD8" w:rsidRDefault="00FF7AD2">
      <w:pPr>
        <w:widowControl w:val="0"/>
        <w:spacing w:before="345" w:line="274" w:lineRule="auto"/>
        <w:ind w:left="10" w:right="1020"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N3.1.4: </w:t>
      </w:r>
      <w:r>
        <w:rPr>
          <w:rFonts w:ascii="Helvetica Neue" w:eastAsia="Helvetica Neue" w:hAnsi="Helvetica Neue" w:cs="Helvetica Neue"/>
          <w:sz w:val="24"/>
          <w:szCs w:val="24"/>
        </w:rPr>
        <w:t xml:space="preserve">Requiring a minimum width of 5 feet for sidewalks along accessible routes is excellent. No recommendations. </w:t>
      </w:r>
    </w:p>
    <w:p w14:paraId="3FC720D9" w14:textId="77777777" w:rsidR="00FB2FD8" w:rsidRDefault="00FF7AD2">
      <w:pPr>
        <w:widowControl w:val="0"/>
        <w:spacing w:before="345"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N3.2: Building Design </w:t>
      </w:r>
    </w:p>
    <w:p w14:paraId="55440890" w14:textId="77777777" w:rsidR="00FB2FD8" w:rsidRDefault="00FF7AD2">
      <w:pPr>
        <w:widowControl w:val="0"/>
        <w:spacing w:before="244" w:line="240" w:lineRule="auto"/>
        <w:ind w:left="1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N3.2.4: </w:t>
      </w:r>
      <w:r>
        <w:rPr>
          <w:rFonts w:ascii="Helvetica Neue" w:eastAsia="Helvetica Neue" w:hAnsi="Helvetica Neue" w:cs="Helvetica Neue"/>
          <w:sz w:val="24"/>
          <w:szCs w:val="24"/>
        </w:rPr>
        <w:t xml:space="preserve">Elevator requirements are great. No recommendations. </w:t>
      </w:r>
    </w:p>
    <w:p w14:paraId="2E094D16" w14:textId="77777777" w:rsidR="00FB2FD8" w:rsidRDefault="00FF7AD2">
      <w:pPr>
        <w:widowControl w:val="0"/>
        <w:spacing w:before="379" w:line="274" w:lineRule="auto"/>
        <w:ind w:left="10" w:right="229"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N3.2.5: </w:t>
      </w:r>
      <w:r>
        <w:rPr>
          <w:rFonts w:ascii="Helvetica Neue" w:eastAsia="Helvetica Neue" w:hAnsi="Helvetica Neue" w:cs="Helvetica Neue"/>
          <w:sz w:val="24"/>
          <w:szCs w:val="24"/>
        </w:rPr>
        <w:t xml:space="preserve">Recommend specifying side-by-side hookups so there are no stacked washer/dryer combos in mobility units, as these would be out of reach for people in a seated position. </w:t>
      </w:r>
    </w:p>
    <w:p w14:paraId="35DF177D" w14:textId="77777777" w:rsidR="00FB2FD8" w:rsidRDefault="00FF7AD2">
      <w:pPr>
        <w:widowControl w:val="0"/>
        <w:spacing w:before="545"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N3.3: Unit Sizes </w:t>
      </w:r>
    </w:p>
    <w:p w14:paraId="4A94EFB9" w14:textId="77777777" w:rsidR="00FB2FD8" w:rsidRDefault="00FF7AD2">
      <w:pPr>
        <w:widowControl w:val="0"/>
        <w:spacing w:before="254" w:line="274" w:lineRule="auto"/>
        <w:ind w:left="4" w:right="264" w:firstLine="13"/>
        <w:rPr>
          <w:rFonts w:ascii="Helvetica Neue" w:eastAsia="Helvetica Neue" w:hAnsi="Helvetica Neue" w:cs="Helvetica Neue"/>
          <w:sz w:val="24"/>
          <w:szCs w:val="24"/>
        </w:rPr>
      </w:pPr>
      <w:r>
        <w:rPr>
          <w:rFonts w:ascii="Helvetica Neue" w:eastAsia="Helvetica Neue" w:hAnsi="Helvetica Neue" w:cs="Helvetica Neue"/>
          <w:b/>
          <w:bCs/>
          <w:sz w:val="24"/>
          <w:szCs w:val="24"/>
        </w:rPr>
        <w:lastRenderedPageBreak/>
        <w:t xml:space="preserve">N3.3.1: </w:t>
      </w:r>
      <w:r>
        <w:rPr>
          <w:rFonts w:ascii="Helvetica Neue" w:eastAsia="Helvetica Neue" w:hAnsi="Helvetica Neue" w:cs="Helvetica Neue"/>
          <w:sz w:val="24"/>
          <w:szCs w:val="24"/>
        </w:rPr>
        <w:t xml:space="preserve">Great minimum sizes. These are larger than the TCAC (referenced above) guidelines for unit sizes; we find the TCAC minimum sizes to be far too small. No recommendations. </w:t>
      </w:r>
    </w:p>
    <w:p w14:paraId="4EBD79D4" w14:textId="77777777" w:rsidR="00FB2FD8" w:rsidRDefault="00FF7AD2">
      <w:pPr>
        <w:widowControl w:val="0"/>
        <w:spacing w:before="345" w:line="274" w:lineRule="auto"/>
        <w:ind w:left="10" w:right="382"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N3.3.4.3: </w:t>
      </w:r>
      <w:r>
        <w:rPr>
          <w:rFonts w:ascii="Helvetica Neue" w:eastAsia="Helvetica Neue" w:hAnsi="Helvetica Neue" w:cs="Helvetica Neue"/>
          <w:sz w:val="24"/>
          <w:szCs w:val="24"/>
        </w:rPr>
        <w:t xml:space="preserve">Great clarification that the linear storage space does not include removable base cabinets. No recommendations. </w:t>
      </w:r>
    </w:p>
    <w:p w14:paraId="55F789E3" w14:textId="77777777" w:rsidR="00FB2FD8" w:rsidRDefault="00FF7AD2">
      <w:pPr>
        <w:widowControl w:val="0"/>
        <w:spacing w:before="545"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N3.5: Bathrooms </w:t>
      </w:r>
    </w:p>
    <w:p w14:paraId="1471BB6F" w14:textId="77777777" w:rsidR="00FB2FD8" w:rsidRDefault="00FF7AD2">
      <w:pPr>
        <w:widowControl w:val="0"/>
        <w:spacing w:before="254" w:line="274" w:lineRule="auto"/>
        <w:ind w:left="16" w:right="1238" w:firstLine="1"/>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N3.5.2: </w:t>
      </w:r>
      <w:r>
        <w:rPr>
          <w:rFonts w:ascii="Helvetica Neue" w:eastAsia="Helvetica Neue" w:hAnsi="Helvetica Neue" w:cs="Helvetica Neue"/>
          <w:sz w:val="24"/>
          <w:szCs w:val="24"/>
        </w:rPr>
        <w:t xml:space="preserve">A toilet room on the “accessible” floor of a multi-story townhome is a great requirement. No recommendations. </w:t>
      </w:r>
    </w:p>
    <w:p w14:paraId="6A304F5D" w14:textId="77777777" w:rsidR="00FB2FD8" w:rsidRDefault="00FF7AD2">
      <w:pPr>
        <w:widowControl w:val="0"/>
        <w:spacing w:before="345" w:line="274" w:lineRule="auto"/>
        <w:ind w:left="3" w:right="171" w:firstLine="14"/>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N3.5.3: </w:t>
      </w:r>
      <w:r>
        <w:rPr>
          <w:rFonts w:ascii="Helvetica Neue" w:eastAsia="Helvetica Neue" w:hAnsi="Helvetica Neue" w:cs="Helvetica Neue"/>
          <w:sz w:val="24"/>
          <w:szCs w:val="24"/>
        </w:rPr>
        <w:t xml:space="preserve">Great requirement for roll-in showers in mobility units. Also, great direction regarding the drain situation. No recommendations. </w:t>
      </w:r>
    </w:p>
    <w:p w14:paraId="5A618BE9" w14:textId="77777777" w:rsidR="00FB2FD8" w:rsidRDefault="00FF7AD2">
      <w:pPr>
        <w:widowControl w:val="0"/>
        <w:spacing w:before="345" w:line="1174" w:lineRule="auto"/>
        <w:ind w:left="3" w:right="2288" w:firstLine="14"/>
        <w:rPr>
          <w:rFonts w:ascii="Inter" w:eastAsia="Inter" w:hAnsi="Inter" w:cs="Inter"/>
          <w:b/>
          <w:bCs/>
          <w:color w:val="1A4ACB"/>
          <w:sz w:val="24"/>
          <w:szCs w:val="24"/>
        </w:rPr>
      </w:pPr>
      <w:r>
        <w:rPr>
          <w:rFonts w:ascii="Helvetica Neue" w:eastAsia="Helvetica Neue" w:hAnsi="Helvetica Neue" w:cs="Helvetica Neue"/>
          <w:b/>
          <w:bCs/>
          <w:sz w:val="24"/>
          <w:szCs w:val="24"/>
        </w:rPr>
        <w:t xml:space="preserve">N3.5.4: </w:t>
      </w:r>
      <w:r>
        <w:rPr>
          <w:rFonts w:ascii="Helvetica Neue" w:eastAsia="Helvetica Neue" w:hAnsi="Helvetica Neue" w:cs="Helvetica Neue"/>
          <w:sz w:val="24"/>
          <w:szCs w:val="24"/>
        </w:rPr>
        <w:t xml:space="preserve">Requirement for loop handles is excellent. No recommendations. </w:t>
      </w:r>
      <w:r>
        <w:rPr>
          <w:rFonts w:ascii="Inter" w:eastAsia="Inter" w:hAnsi="Inter" w:cs="Inter"/>
          <w:b/>
          <w:bCs/>
          <w:color w:val="1A4ACB"/>
          <w:sz w:val="24"/>
          <w:szCs w:val="24"/>
        </w:rPr>
        <w:t>thekelsey.org</w:t>
      </w:r>
    </w:p>
    <w:p w14:paraId="6B413D69" w14:textId="77777777" w:rsidR="00FB2FD8" w:rsidRDefault="00FF7AD2">
      <w:pPr>
        <w:widowControl w:val="0"/>
        <w:spacing w:before="250" w:line="237" w:lineRule="auto"/>
        <w:ind w:right="1737"/>
        <w:rPr>
          <w:rFonts w:ascii="Inter" w:eastAsia="Inter" w:hAnsi="Inter" w:cs="Inter"/>
          <w:b/>
          <w:bCs/>
          <w:sz w:val="48"/>
          <w:szCs w:val="48"/>
        </w:rPr>
      </w:pPr>
      <w:r>
        <w:rPr>
          <w:rFonts w:ascii="Inter" w:eastAsia="Inter" w:hAnsi="Inter" w:cs="Inter"/>
          <w:b/>
          <w:bCs/>
          <w:sz w:val="48"/>
          <w:szCs w:val="48"/>
        </w:rPr>
        <w:t xml:space="preserve">Recommendations for OHFA’s 2027 Design &amp; Architectural Standards </w:t>
      </w:r>
      <w:r>
        <w:rPr>
          <w:noProof/>
        </w:rPr>
        <w:drawing>
          <wp:anchor distT="19050" distB="19050" distL="19050" distR="19050" simplePos="0" relativeHeight="251660288" behindDoc="0" locked="0" layoutInCell="1" hidden="0" allowOverlap="1" wp14:anchorId="4E3B12BD" wp14:editId="4B4AB839">
            <wp:simplePos x="0" y="0"/>
            <wp:positionH relativeFrom="column">
              <wp:posOffset>5294833</wp:posOffset>
            </wp:positionH>
            <wp:positionV relativeFrom="paragraph">
              <wp:posOffset>-140207</wp:posOffset>
            </wp:positionV>
            <wp:extent cx="1085850" cy="1085850"/>
            <wp:effectExtent l="0" t="0" r="0" b="0"/>
            <wp:wrapSquare wrapText="bothSides" distT="19050" distB="19050" distL="19050" distR="1905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085850" cy="1085850"/>
                    </a:xfrm>
                    <a:prstGeom prst="rect">
                      <a:avLst/>
                    </a:prstGeom>
                    <a:ln/>
                  </pic:spPr>
                </pic:pic>
              </a:graphicData>
            </a:graphic>
          </wp:anchor>
        </w:drawing>
      </w:r>
    </w:p>
    <w:p w14:paraId="40DDE832" w14:textId="77777777" w:rsidR="00FB2FD8" w:rsidRDefault="00FF7AD2">
      <w:pPr>
        <w:widowControl w:val="0"/>
        <w:spacing w:before="434"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N3.6: Kitchen &amp; Appliances </w:t>
      </w:r>
    </w:p>
    <w:p w14:paraId="1C21942B" w14:textId="77777777" w:rsidR="00FB2FD8" w:rsidRDefault="00FF7AD2">
      <w:pPr>
        <w:widowControl w:val="0"/>
        <w:spacing w:before="254" w:line="274" w:lineRule="auto"/>
        <w:ind w:left="4" w:right="210" w:firstLine="13"/>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N3.6.1.2: </w:t>
      </w:r>
      <w:r>
        <w:rPr>
          <w:rFonts w:ascii="Helvetica Neue" w:eastAsia="Helvetica Neue" w:hAnsi="Helvetica Neue" w:cs="Helvetica Neue"/>
          <w:sz w:val="24"/>
          <w:szCs w:val="24"/>
        </w:rPr>
        <w:t xml:space="preserve">Recommend requiring either side-by-side or bottom freezer refrigerator options so freezer storage is accessible to people in seated positions. </w:t>
      </w:r>
    </w:p>
    <w:p w14:paraId="4F3DEC78" w14:textId="77777777" w:rsidR="00FB2FD8" w:rsidRDefault="00FF7AD2">
      <w:pPr>
        <w:widowControl w:val="0"/>
        <w:spacing w:before="345" w:line="274" w:lineRule="auto"/>
        <w:ind w:left="17" w:right="533"/>
        <w:rPr>
          <w:rFonts w:ascii="Helvetica Neue" w:eastAsia="Helvetica Neue" w:hAnsi="Helvetica Neue" w:cs="Helvetica Neue"/>
          <w:sz w:val="24"/>
          <w:szCs w:val="24"/>
        </w:rPr>
      </w:pPr>
      <w:r>
        <w:rPr>
          <w:rFonts w:ascii="Helvetica Neue" w:eastAsia="Helvetica Neue" w:hAnsi="Helvetica Neue" w:cs="Helvetica Neue"/>
          <w:b/>
          <w:bCs/>
          <w:sz w:val="24"/>
          <w:szCs w:val="24"/>
        </w:rPr>
        <w:lastRenderedPageBreak/>
        <w:t xml:space="preserve">N3.6.4: </w:t>
      </w:r>
      <w:r>
        <w:rPr>
          <w:rFonts w:ascii="Helvetica Neue" w:eastAsia="Helvetica Neue" w:hAnsi="Helvetica Neue" w:cs="Helvetica Neue"/>
          <w:sz w:val="24"/>
          <w:szCs w:val="24"/>
        </w:rPr>
        <w:t xml:space="preserve">Requiring countertop “landing zones” is excellent, not just for design, but also for people with mobility disabilities. No recommendations. </w:t>
      </w:r>
    </w:p>
    <w:p w14:paraId="15A58FF0" w14:textId="77777777" w:rsidR="00FB2FD8" w:rsidRDefault="00FF7AD2">
      <w:pPr>
        <w:widowControl w:val="0"/>
        <w:spacing w:before="545"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N3.7: Doors </w:t>
      </w:r>
    </w:p>
    <w:p w14:paraId="0B8FA396" w14:textId="77777777" w:rsidR="00FB2FD8" w:rsidRDefault="00FF7AD2">
      <w:pPr>
        <w:widowControl w:val="0"/>
        <w:spacing w:before="254" w:line="274" w:lineRule="auto"/>
        <w:ind w:left="10" w:right="409"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N3.7.1.1: </w:t>
      </w:r>
      <w:r>
        <w:rPr>
          <w:rFonts w:ascii="Helvetica Neue" w:eastAsia="Helvetica Neue" w:hAnsi="Helvetica Neue" w:cs="Helvetica Neue"/>
          <w:sz w:val="24"/>
          <w:szCs w:val="24"/>
        </w:rPr>
        <w:t xml:space="preserve">Recommend increasing the minimum clear width to 36” to support larger people and larger mobility devices. </w:t>
      </w:r>
    </w:p>
    <w:p w14:paraId="20836A37" w14:textId="77777777" w:rsidR="00FB2FD8" w:rsidRDefault="00FF7AD2">
      <w:pPr>
        <w:widowControl w:val="0"/>
        <w:spacing w:before="345" w:line="274" w:lineRule="auto"/>
        <w:ind w:left="10" w:right="623"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N3.7.1.2.3: </w:t>
      </w:r>
      <w:r>
        <w:rPr>
          <w:rFonts w:ascii="Helvetica Neue" w:eastAsia="Helvetica Neue" w:hAnsi="Helvetica Neue" w:cs="Helvetica Neue"/>
          <w:sz w:val="24"/>
          <w:szCs w:val="24"/>
        </w:rPr>
        <w:t xml:space="preserve">Recommend requiring lever handles on all doors. (doors on casework do not count) </w:t>
      </w:r>
    </w:p>
    <w:p w14:paraId="6C8E86B6" w14:textId="77777777" w:rsidR="00FB2FD8" w:rsidRDefault="00FF7AD2">
      <w:pPr>
        <w:widowControl w:val="0"/>
        <w:spacing w:before="345" w:line="274" w:lineRule="auto"/>
        <w:ind w:left="3" w:right="49" w:firstLine="14"/>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N3.7.1.4: </w:t>
      </w:r>
      <w:r>
        <w:rPr>
          <w:rFonts w:ascii="Helvetica Neue" w:eastAsia="Helvetica Neue" w:hAnsi="Helvetica Neue" w:cs="Helvetica Neue"/>
          <w:sz w:val="24"/>
          <w:szCs w:val="24"/>
        </w:rPr>
        <w:t xml:space="preserve">Bi-fold doors provide more open space for a person using a mobility device to enter a closet. They provide greater access than sliding doors, which only allow access to one side at a time, rather than potentially opening the entire closet. If disallowing bi-fold doors is necessary for other reasons, we recommend adding an explanation in the document for why they are not allowed. Otherwise, we recommend allowing bi-fold doors for closets. </w:t>
      </w:r>
    </w:p>
    <w:p w14:paraId="32D2DFF1" w14:textId="77777777" w:rsidR="00FB2FD8" w:rsidRDefault="00FF7AD2">
      <w:pPr>
        <w:widowControl w:val="0"/>
        <w:spacing w:before="545"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N3.8: Floor Coverings </w:t>
      </w:r>
    </w:p>
    <w:p w14:paraId="5EE5E2B6" w14:textId="77777777" w:rsidR="00FB2FD8" w:rsidRDefault="00FF7AD2">
      <w:pPr>
        <w:widowControl w:val="0"/>
        <w:spacing w:before="254" w:line="240" w:lineRule="auto"/>
        <w:rPr>
          <w:rFonts w:ascii="Helvetica Neue" w:eastAsia="Helvetica Neue" w:hAnsi="Helvetica Neue" w:cs="Helvetica Neue"/>
          <w:sz w:val="24"/>
          <w:szCs w:val="24"/>
        </w:rPr>
      </w:pPr>
      <w:r>
        <w:rPr>
          <w:rFonts w:ascii="Helvetica Neue" w:eastAsia="Helvetica Neue" w:hAnsi="Helvetica Neue" w:cs="Helvetica Neue"/>
          <w:sz w:val="24"/>
          <w:szCs w:val="24"/>
        </w:rPr>
        <w:t xml:space="preserve">All requirements in this section are excellent. No recommendations. </w:t>
      </w:r>
    </w:p>
    <w:p w14:paraId="343748DE" w14:textId="77777777" w:rsidR="00FB2FD8" w:rsidRDefault="00FF7AD2">
      <w:pPr>
        <w:widowControl w:val="0"/>
        <w:spacing w:before="579" w:line="240" w:lineRule="auto"/>
        <w:ind w:left="12"/>
        <w:rPr>
          <w:rFonts w:ascii="Inter" w:eastAsia="Inter" w:hAnsi="Inter" w:cs="Inter"/>
          <w:b/>
          <w:bCs/>
          <w:color w:val="212124"/>
          <w:sz w:val="24"/>
          <w:szCs w:val="24"/>
        </w:rPr>
      </w:pPr>
      <w:r>
        <w:rPr>
          <w:rFonts w:ascii="Inter" w:eastAsia="Inter" w:hAnsi="Inter" w:cs="Inter"/>
          <w:b/>
          <w:bCs/>
          <w:color w:val="212124"/>
          <w:sz w:val="24"/>
          <w:szCs w:val="24"/>
        </w:rPr>
        <w:t xml:space="preserve">Section N3.9: Durability </w:t>
      </w:r>
    </w:p>
    <w:p w14:paraId="47F343F1" w14:textId="77777777" w:rsidR="00FB2FD8" w:rsidRDefault="00FF7AD2">
      <w:pPr>
        <w:widowControl w:val="0"/>
        <w:spacing w:before="254" w:line="274" w:lineRule="auto"/>
        <w:ind w:left="16" w:right="151" w:firstLine="1"/>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N3.9.2.7.4: </w:t>
      </w:r>
      <w:r>
        <w:rPr>
          <w:rFonts w:ascii="Helvetica Neue" w:eastAsia="Helvetica Neue" w:hAnsi="Helvetica Neue" w:cs="Helvetica Neue"/>
          <w:sz w:val="24"/>
          <w:szCs w:val="24"/>
        </w:rPr>
        <w:t xml:space="preserve">Regular professional cleaning is not just important for cleanliness reasons; it also benefits people with allergies or respiratory conditions. Excellent requirement - no recommendations. </w:t>
      </w:r>
    </w:p>
    <w:p w14:paraId="5A823F7A" w14:textId="77777777" w:rsidR="00FB2FD8" w:rsidRDefault="00FF7AD2">
      <w:pPr>
        <w:widowControl w:val="0"/>
        <w:spacing w:before="345" w:line="274" w:lineRule="auto"/>
        <w:ind w:left="17" w:right="555"/>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N3.9.2.9.3: </w:t>
      </w:r>
      <w:r>
        <w:rPr>
          <w:rFonts w:ascii="Helvetica Neue" w:eastAsia="Helvetica Neue" w:hAnsi="Helvetica Neue" w:cs="Helvetica Neue"/>
          <w:sz w:val="24"/>
          <w:szCs w:val="24"/>
        </w:rPr>
        <w:t xml:space="preserve">Recommend requiring kickplates to be a minimum of 12 inches high from the bottom of the door. This ensures people using taller mobility devices are covered. </w:t>
      </w:r>
    </w:p>
    <w:p w14:paraId="51CA1DBC" w14:textId="77777777" w:rsidR="00FB2FD8" w:rsidRDefault="00FB2FD8">
      <w:pPr>
        <w:widowControl w:val="0"/>
        <w:spacing w:before="780" w:line="240" w:lineRule="auto"/>
        <w:ind w:left="3"/>
        <w:rPr>
          <w:rFonts w:ascii="Inter" w:eastAsia="Inter" w:hAnsi="Inter" w:cs="Inter"/>
          <w:b/>
          <w:bCs/>
          <w:color w:val="1A4ACB"/>
          <w:sz w:val="24"/>
          <w:szCs w:val="24"/>
        </w:rPr>
      </w:pPr>
    </w:p>
    <w:p w14:paraId="51E39D26" w14:textId="77777777" w:rsidR="00FB2FD8" w:rsidRDefault="00FB2FD8">
      <w:pPr>
        <w:widowControl w:val="0"/>
        <w:spacing w:before="780" w:line="240" w:lineRule="auto"/>
        <w:ind w:left="3"/>
        <w:rPr>
          <w:rFonts w:ascii="Inter" w:eastAsia="Inter" w:hAnsi="Inter" w:cs="Inter"/>
          <w:b/>
          <w:bCs/>
          <w:color w:val="1A4ACB"/>
          <w:sz w:val="24"/>
          <w:szCs w:val="24"/>
        </w:rPr>
      </w:pPr>
    </w:p>
    <w:p w14:paraId="24108B34" w14:textId="77777777" w:rsidR="00FB2FD8" w:rsidRDefault="00FF7AD2">
      <w:pPr>
        <w:widowControl w:val="0"/>
        <w:spacing w:before="250" w:line="237" w:lineRule="auto"/>
        <w:ind w:right="1737"/>
        <w:rPr>
          <w:rFonts w:ascii="Inter" w:eastAsia="Inter" w:hAnsi="Inter" w:cs="Inter"/>
          <w:b/>
          <w:bCs/>
          <w:sz w:val="48"/>
          <w:szCs w:val="48"/>
        </w:rPr>
      </w:pPr>
      <w:r>
        <w:rPr>
          <w:rFonts w:ascii="Inter" w:eastAsia="Inter" w:hAnsi="Inter" w:cs="Inter"/>
          <w:b/>
          <w:bCs/>
          <w:sz w:val="48"/>
          <w:szCs w:val="48"/>
        </w:rPr>
        <w:t xml:space="preserve">Recommendations for OHFA’s 2027 Design &amp; Architectural Standards </w:t>
      </w:r>
      <w:r>
        <w:rPr>
          <w:noProof/>
        </w:rPr>
        <w:drawing>
          <wp:anchor distT="19050" distB="19050" distL="19050" distR="19050" simplePos="0" relativeHeight="251661312" behindDoc="0" locked="0" layoutInCell="1" hidden="0" allowOverlap="1" wp14:anchorId="0C8A3B33" wp14:editId="2E0DDADC">
            <wp:simplePos x="0" y="0"/>
            <wp:positionH relativeFrom="column">
              <wp:posOffset>5294833</wp:posOffset>
            </wp:positionH>
            <wp:positionV relativeFrom="paragraph">
              <wp:posOffset>-140207</wp:posOffset>
            </wp:positionV>
            <wp:extent cx="1085850" cy="1085850"/>
            <wp:effectExtent l="0" t="0" r="0" b="0"/>
            <wp:wrapSquare wrapText="left" distT="19050" distB="19050" distL="19050" distR="1905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85850" cy="1085850"/>
                    </a:xfrm>
                    <a:prstGeom prst="rect">
                      <a:avLst/>
                    </a:prstGeom>
                    <a:ln/>
                  </pic:spPr>
                </pic:pic>
              </a:graphicData>
            </a:graphic>
          </wp:anchor>
        </w:drawing>
      </w:r>
    </w:p>
    <w:p w14:paraId="29B91FE9" w14:textId="77777777" w:rsidR="00FB2FD8" w:rsidRDefault="00FF7AD2">
      <w:pPr>
        <w:widowControl w:val="0"/>
        <w:spacing w:before="234" w:line="274" w:lineRule="auto"/>
        <w:ind w:left="10" w:right="95" w:firstLine="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N3.9.3: </w:t>
      </w:r>
      <w:r>
        <w:rPr>
          <w:rFonts w:ascii="Helvetica Neue" w:eastAsia="Helvetica Neue" w:hAnsi="Helvetica Neue" w:cs="Helvetica Neue"/>
          <w:sz w:val="24"/>
          <w:szCs w:val="24"/>
        </w:rPr>
        <w:t xml:space="preserve">Recommend adding a requirement to include grab bar backing in all units at the toilet and tub/shower. This will avoid costly retrofits when residents ask for reasonable modifications. </w:t>
      </w:r>
    </w:p>
    <w:p w14:paraId="3E09F534" w14:textId="77777777" w:rsidR="00FB2FD8" w:rsidRDefault="00FF7AD2">
      <w:pPr>
        <w:widowControl w:val="0"/>
        <w:spacing w:before="345" w:line="240" w:lineRule="auto"/>
        <w:ind w:left="17"/>
        <w:rPr>
          <w:rFonts w:ascii="Helvetica Neue" w:eastAsia="Helvetica Neue" w:hAnsi="Helvetica Neue" w:cs="Helvetica Neue"/>
          <w:sz w:val="24"/>
          <w:szCs w:val="24"/>
        </w:rPr>
      </w:pPr>
      <w:r>
        <w:rPr>
          <w:rFonts w:ascii="Helvetica Neue" w:eastAsia="Helvetica Neue" w:hAnsi="Helvetica Neue" w:cs="Helvetica Neue"/>
          <w:b/>
          <w:bCs/>
          <w:sz w:val="24"/>
          <w:szCs w:val="24"/>
        </w:rPr>
        <w:t xml:space="preserve">N3.10.3: </w:t>
      </w:r>
      <w:r>
        <w:rPr>
          <w:rFonts w:ascii="Helvetica Neue" w:eastAsia="Helvetica Neue" w:hAnsi="Helvetica Neue" w:cs="Helvetica Neue"/>
          <w:sz w:val="24"/>
          <w:szCs w:val="24"/>
        </w:rPr>
        <w:t xml:space="preserve">Excellent requirements. No recommendations. </w:t>
      </w:r>
    </w:p>
    <w:p w14:paraId="1F109147" w14:textId="77777777" w:rsidR="00FB2FD8" w:rsidRDefault="00FF7AD2">
      <w:pPr>
        <w:widowControl w:val="0"/>
        <w:spacing w:before="373" w:line="240" w:lineRule="auto"/>
        <w:ind w:left="19"/>
        <w:rPr>
          <w:rFonts w:ascii="Inter" w:eastAsia="Inter" w:hAnsi="Inter" w:cs="Inter"/>
          <w:b/>
          <w:bCs/>
          <w:color w:val="212124"/>
          <w:sz w:val="40"/>
          <w:szCs w:val="40"/>
        </w:rPr>
      </w:pPr>
      <w:r>
        <w:rPr>
          <w:rFonts w:ascii="Inter" w:eastAsia="Inter" w:hAnsi="Inter" w:cs="Inter"/>
          <w:b/>
          <w:bCs/>
          <w:color w:val="212124"/>
          <w:sz w:val="40"/>
          <w:szCs w:val="40"/>
        </w:rPr>
        <w:t xml:space="preserve">Guidelines for Rehabilitation </w:t>
      </w:r>
    </w:p>
    <w:p w14:paraId="59A20BE9" w14:textId="77777777" w:rsidR="00FB2FD8" w:rsidRDefault="00FF7AD2">
      <w:pPr>
        <w:widowControl w:val="0"/>
        <w:spacing w:before="424" w:line="274" w:lineRule="auto"/>
        <w:ind w:left="16" w:right="106" w:hanging="5"/>
        <w:rPr>
          <w:rFonts w:ascii="Inter" w:eastAsia="Inter" w:hAnsi="Inter" w:cs="Inter"/>
          <w:b/>
          <w:bCs/>
          <w:color w:val="1A4ACB"/>
          <w:sz w:val="24"/>
          <w:szCs w:val="24"/>
        </w:rPr>
      </w:pPr>
      <w:r>
        <w:rPr>
          <w:rFonts w:ascii="Helvetica Neue" w:eastAsia="Helvetica Neue" w:hAnsi="Helvetica Neue" w:cs="Helvetica Neue"/>
          <w:sz w:val="24"/>
          <w:szCs w:val="24"/>
        </w:rPr>
        <w:t xml:space="preserve">Comments for rehabs are </w:t>
      </w:r>
      <w:proofErr w:type="gramStart"/>
      <w:r>
        <w:rPr>
          <w:rFonts w:ascii="Helvetica Neue" w:eastAsia="Helvetica Neue" w:hAnsi="Helvetica Neue" w:cs="Helvetica Neue"/>
          <w:sz w:val="24"/>
          <w:szCs w:val="24"/>
        </w:rPr>
        <w:t>similar to</w:t>
      </w:r>
      <w:proofErr w:type="gramEnd"/>
      <w:r>
        <w:rPr>
          <w:rFonts w:ascii="Helvetica Neue" w:eastAsia="Helvetica Neue" w:hAnsi="Helvetica Neue" w:cs="Helvetica Neue"/>
          <w:sz w:val="24"/>
          <w:szCs w:val="24"/>
        </w:rPr>
        <w:t xml:space="preserve"> those for new construction (e.g., lever handles, 12” kickplates). We do recognize that older buildings often have smaller unit footprints, so we are not making recommendations for areas where this may be the case. </w:t>
      </w:r>
    </w:p>
    <w:p w14:paraId="38AFCF8C" w14:textId="77777777" w:rsidR="00FB2FD8" w:rsidRDefault="00FB2FD8">
      <w:pPr>
        <w:rPr>
          <w:sz w:val="24"/>
          <w:szCs w:val="24"/>
        </w:rPr>
      </w:pPr>
    </w:p>
    <w:sectPr w:rsidR="00FB2FD8">
      <w:head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D19DD" w14:textId="77777777" w:rsidR="00FF7AD2" w:rsidRDefault="00FF7AD2">
      <w:pPr>
        <w:spacing w:line="240" w:lineRule="auto"/>
      </w:pPr>
      <w:r>
        <w:separator/>
      </w:r>
    </w:p>
  </w:endnote>
  <w:endnote w:type="continuationSeparator" w:id="0">
    <w:p w14:paraId="4C042EC1" w14:textId="77777777" w:rsidR="00FF7AD2" w:rsidRDefault="00FF7A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Inter">
    <w:charset w:val="00"/>
    <w:family w:val="auto"/>
    <w:pitch w:val="default"/>
    <w:embedBold r:id="rId1" w:fontKey="{F5611DCB-2AF7-4CF1-8AA0-0C2CCC384FDA}"/>
  </w:font>
  <w:font w:name="Helvetica Neue">
    <w:charset w:val="00"/>
    <w:family w:val="auto"/>
    <w:pitch w:val="default"/>
    <w:embedRegular r:id="rId2" w:fontKey="{B303428C-555F-4A02-B479-2B255058F9FA}"/>
    <w:embedBold r:id="rId3" w:fontKey="{1BF2AA94-6C32-4951-B0F7-7FE7A3AB6BE5}"/>
  </w:font>
  <w:font w:name="Calibri">
    <w:panose1 w:val="020F0502020204030204"/>
    <w:charset w:val="00"/>
    <w:family w:val="swiss"/>
    <w:pitch w:val="variable"/>
    <w:sig w:usb0="E4002EFF" w:usb1="C200247B" w:usb2="00000009" w:usb3="00000000" w:csb0="000001FF" w:csb1="00000000"/>
    <w:embedRegular r:id="rId4" w:fontKey="{B5805AE2-8553-418B-9560-7ECB2B8D0513}"/>
  </w:font>
  <w:font w:name="Cambria">
    <w:panose1 w:val="02040503050406030204"/>
    <w:charset w:val="00"/>
    <w:family w:val="roman"/>
    <w:pitch w:val="variable"/>
    <w:sig w:usb0="E00006FF" w:usb1="420024FF" w:usb2="02000000" w:usb3="00000000" w:csb0="0000019F" w:csb1="00000000"/>
    <w:embedRegular r:id="rId5" w:fontKey="{992EFA5D-B420-46B0-987B-408D22E972D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076E18" w14:textId="77777777" w:rsidR="00FF7AD2" w:rsidRDefault="00FF7AD2">
      <w:pPr>
        <w:spacing w:line="240" w:lineRule="auto"/>
      </w:pPr>
      <w:r>
        <w:separator/>
      </w:r>
    </w:p>
  </w:footnote>
  <w:footnote w:type="continuationSeparator" w:id="0">
    <w:p w14:paraId="48477355" w14:textId="77777777" w:rsidR="00FF7AD2" w:rsidRDefault="00FF7AD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569C4" w14:textId="77777777" w:rsidR="00FB2FD8" w:rsidRDefault="00FF7AD2">
    <w:r>
      <w:rPr>
        <w:noProof/>
      </w:rPr>
      <w:drawing>
        <wp:inline distT="114300" distB="114300" distL="114300" distR="114300" wp14:anchorId="15F8CD03" wp14:editId="04DD965A">
          <wp:extent cx="900113" cy="951255"/>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900113" cy="95125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6821B3"/>
    <w:multiLevelType w:val="multilevel"/>
    <w:tmpl w:val="EFC4DE7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1AC76D8E"/>
    <w:multiLevelType w:val="multilevel"/>
    <w:tmpl w:val="52E8F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54575313">
    <w:abstractNumId w:val="1"/>
  </w:num>
  <w:num w:numId="2" w16cid:durableId="10010831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FD8"/>
    <w:rsid w:val="00AC368F"/>
    <w:rsid w:val="00CC4165"/>
    <w:rsid w:val="00FB2FD8"/>
    <w:rsid w:val="00FF7A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F022C"/>
  <w15:docId w15:val="{01DEC374-F094-4977-ADE8-10CDBA2BE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enniferkucera134@gmail.com" TargetMode="External"/><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hyperlink" Target="mailto:DAS@ohiohome.or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841B5A601BF74385D6EF3AFF079AFD" ma:contentTypeVersion="14" ma:contentTypeDescription="Create a new document." ma:contentTypeScope="" ma:versionID="31ad65b2373008e962c61775790441e6">
  <xsd:schema xmlns:xsd="http://www.w3.org/2001/XMLSchema" xmlns:xs="http://www.w3.org/2001/XMLSchema" xmlns:p="http://schemas.microsoft.com/office/2006/metadata/properties" xmlns:ns1="http://schemas.microsoft.com/sharepoint/v3" xmlns:ns2="efa79490-6fe0-4669-94c9-47a4e30f63a3" xmlns:ns3="7fe5ba61-e4d7-4653-b84d-85d9d4282e5d" targetNamespace="http://schemas.microsoft.com/office/2006/metadata/properties" ma:root="true" ma:fieldsID="d31dec3b8187903adbff4abde6e98cd0" ns1:_="" ns2:_="" ns3:_="">
    <xsd:import namespace="http://schemas.microsoft.com/sharepoint/v3"/>
    <xsd:import namespace="efa79490-6fe0-4669-94c9-47a4e30f63a3"/>
    <xsd:import namespace="7fe5ba61-e4d7-4653-b84d-85d9d4282e5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xsd:simpleType>
        <xsd:restriction base="dms:Note"/>
      </xsd:simpleType>
    </xsd:element>
    <xsd:element name="_ip_UnifiedCompliancePolicyUIAction" ma:index="2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fa79490-6fe0-4669-94c9-47a4e30f63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03896aec-d569-4191-ae80-f5e63870f3cd"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fe5ba61-e4d7-4653-b84d-85d9d4282e5d"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23572917-fe18-402a-86da-64c8bb59aa8f}" ma:internalName="TaxCatchAll" ma:showField="CatchAllData" ma:web="7fe5ba61-e4d7-4653-b84d-85d9d4282e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efa79490-6fe0-4669-94c9-47a4e30f63a3">
      <Terms xmlns="http://schemas.microsoft.com/office/infopath/2007/PartnerControls"/>
    </lcf76f155ced4ddcb4097134ff3c332f>
    <_ip_UnifiedCompliancePolicyProperties xmlns="http://schemas.microsoft.com/sharepoint/v3" xsi:nil="true"/>
    <TaxCatchAll xmlns="7fe5ba61-e4d7-4653-b84d-85d9d4282e5d" xsi:nil="true"/>
  </documentManagement>
</p:properties>
</file>

<file path=customXml/itemProps1.xml><?xml version="1.0" encoding="utf-8"?>
<ds:datastoreItem xmlns:ds="http://schemas.openxmlformats.org/officeDocument/2006/customXml" ds:itemID="{4E39A16F-45AA-4091-B34B-C180BFC55C74}"/>
</file>

<file path=customXml/itemProps2.xml><?xml version="1.0" encoding="utf-8"?>
<ds:datastoreItem xmlns:ds="http://schemas.openxmlformats.org/officeDocument/2006/customXml" ds:itemID="{53D518DE-91FA-47D5-99FD-D47F371B410B}"/>
</file>

<file path=customXml/itemProps3.xml><?xml version="1.0" encoding="utf-8"?>
<ds:datastoreItem xmlns:ds="http://schemas.openxmlformats.org/officeDocument/2006/customXml" ds:itemID="{ABE14D8A-8A2E-4D86-80D6-37B5E9DED00E}"/>
</file>

<file path=docProps/app.xml><?xml version="1.0" encoding="utf-8"?>
<Properties xmlns="http://schemas.openxmlformats.org/officeDocument/2006/extended-properties" xmlns:vt="http://schemas.openxmlformats.org/officeDocument/2006/docPropsVTypes">
  <Template>Normal.dotm</Template>
  <TotalTime>2</TotalTime>
  <Pages>9</Pages>
  <Words>1932</Words>
  <Characters>11013</Characters>
  <Application>Microsoft Office Word</Application>
  <DocSecurity>0</DocSecurity>
  <Lines>91</Lines>
  <Paragraphs>25</Paragraphs>
  <ScaleCrop>false</ScaleCrop>
  <Company/>
  <LinksUpToDate>false</LinksUpToDate>
  <CharactersWithSpaces>12920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Kucera</dc:creator>
  <cp:lastModifiedBy>Jennifer Kucera</cp:lastModifiedBy>
  <cp:revision>2</cp:revision>
  <dcterms:created xsi:type="dcterms:W3CDTF">2026-06-29T21:25:00Z</dcterms:created>
  <dcterms:modified xsi:type="dcterms:W3CDTF">2026-06-29T21:25:00Z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0x010100BC841B5A601BF74385D6EF3AFF079AFD</vt:lpwstr>
  </property>
</Properties>
</file>